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24C5D" w14:textId="77777777" w:rsidR="0092421C" w:rsidRPr="00982D01" w:rsidRDefault="0092421C" w:rsidP="0092421C">
      <w:pPr>
        <w:spacing w:after="0" w:line="240" w:lineRule="auto"/>
        <w:jc w:val="center"/>
        <w:rPr>
          <w:rFonts w:ascii="Times New Roman" w:hAnsi="Times New Roman" w:cs="Times New Roman"/>
          <w:b/>
          <w:sz w:val="28"/>
          <w:szCs w:val="28"/>
        </w:rPr>
      </w:pPr>
      <w:r w:rsidRPr="00982D01">
        <w:rPr>
          <w:rFonts w:ascii="Times New Roman" w:hAnsi="Times New Roman" w:cs="Times New Roman"/>
          <w:b/>
          <w:sz w:val="28"/>
          <w:szCs w:val="28"/>
        </w:rPr>
        <w:t xml:space="preserve">ИСТОРИЧЕСКИЕ НАУКИ / </w:t>
      </w:r>
      <w:r w:rsidRPr="00982D01">
        <w:rPr>
          <w:rFonts w:ascii="Times New Roman" w:hAnsi="Times New Roman" w:cs="Times New Roman"/>
          <w:b/>
          <w:sz w:val="28"/>
          <w:szCs w:val="28"/>
          <w:lang w:val="en-GB"/>
        </w:rPr>
        <w:t>HISTORY</w:t>
      </w:r>
    </w:p>
    <w:p w14:paraId="15887F1A" w14:textId="77777777" w:rsidR="0092421C" w:rsidRPr="00982D01" w:rsidRDefault="0092421C" w:rsidP="0092421C">
      <w:pPr>
        <w:spacing w:line="360" w:lineRule="auto"/>
        <w:rPr>
          <w:rFonts w:ascii="Times New Roman" w:hAnsi="Times New Roman" w:cs="Times New Roman"/>
          <w:b/>
          <w:bCs/>
          <w:sz w:val="28"/>
          <w:szCs w:val="28"/>
        </w:rPr>
      </w:pPr>
      <w:r w:rsidRPr="00982D01">
        <w:rPr>
          <w:rFonts w:ascii="Times New Roman" w:hAnsi="Times New Roman" w:cs="Times New Roman"/>
          <w:b/>
          <w:bCs/>
          <w:sz w:val="28"/>
          <w:szCs w:val="28"/>
        </w:rPr>
        <w:t>УДК 94(36)</w:t>
      </w:r>
    </w:p>
    <w:p w14:paraId="3080D0D4" w14:textId="77777777" w:rsidR="0092421C" w:rsidRDefault="0092421C" w:rsidP="0092421C">
      <w:pPr>
        <w:spacing w:line="360" w:lineRule="auto"/>
        <w:jc w:val="right"/>
        <w:rPr>
          <w:rFonts w:ascii="Times New Roman" w:hAnsi="Times New Roman" w:cs="Times New Roman"/>
          <w:b/>
          <w:bCs/>
          <w:sz w:val="28"/>
          <w:szCs w:val="28"/>
        </w:rPr>
      </w:pPr>
      <w:r w:rsidRPr="00982D01">
        <w:rPr>
          <w:rFonts w:ascii="Times New Roman" w:hAnsi="Times New Roman" w:cs="Times New Roman"/>
          <w:b/>
          <w:bCs/>
          <w:sz w:val="28"/>
          <w:szCs w:val="28"/>
        </w:rPr>
        <w:t>http://doi.org10.37493/2409-1030.2022.2.1</w:t>
      </w:r>
    </w:p>
    <w:p w14:paraId="58D81A53" w14:textId="77777777" w:rsidR="0092421C" w:rsidRPr="00982D01" w:rsidRDefault="0092421C" w:rsidP="0092421C">
      <w:pPr>
        <w:spacing w:after="0" w:line="360" w:lineRule="auto"/>
        <w:jc w:val="right"/>
        <w:rPr>
          <w:rFonts w:ascii="Times New Roman" w:hAnsi="Times New Roman" w:cs="Times New Roman"/>
          <w:b/>
          <w:bCs/>
          <w:sz w:val="28"/>
          <w:szCs w:val="28"/>
        </w:rPr>
      </w:pPr>
      <w:r w:rsidRPr="00982D01">
        <w:rPr>
          <w:rFonts w:ascii="Times New Roman" w:hAnsi="Times New Roman" w:cs="Times New Roman"/>
          <w:b/>
          <w:bCs/>
          <w:sz w:val="28"/>
          <w:szCs w:val="28"/>
        </w:rPr>
        <w:t xml:space="preserve">В.Ю. </w:t>
      </w:r>
      <w:proofErr w:type="spellStart"/>
      <w:r w:rsidRPr="00982D01">
        <w:rPr>
          <w:rFonts w:ascii="Times New Roman" w:hAnsi="Times New Roman" w:cs="Times New Roman"/>
          <w:b/>
          <w:bCs/>
          <w:sz w:val="28"/>
          <w:szCs w:val="28"/>
        </w:rPr>
        <w:t>Апрыщенко</w:t>
      </w:r>
      <w:proofErr w:type="spellEnd"/>
    </w:p>
    <w:p w14:paraId="7576BCAA" w14:textId="77777777" w:rsidR="0092421C" w:rsidRPr="00982D01" w:rsidRDefault="0092421C" w:rsidP="0092421C">
      <w:pPr>
        <w:spacing w:after="0" w:line="360" w:lineRule="auto"/>
        <w:jc w:val="right"/>
        <w:rPr>
          <w:rFonts w:ascii="Times New Roman" w:hAnsi="Times New Roman" w:cs="Times New Roman"/>
          <w:b/>
          <w:bCs/>
          <w:sz w:val="28"/>
          <w:szCs w:val="28"/>
        </w:rPr>
      </w:pPr>
      <w:r w:rsidRPr="00982D01">
        <w:rPr>
          <w:rFonts w:ascii="Times New Roman" w:hAnsi="Times New Roman" w:cs="Times New Roman"/>
          <w:b/>
          <w:bCs/>
          <w:sz w:val="28"/>
          <w:szCs w:val="28"/>
        </w:rPr>
        <w:t>М.А. Мартыненко</w:t>
      </w:r>
    </w:p>
    <w:p w14:paraId="6730AFC7" w14:textId="77777777" w:rsidR="0092421C" w:rsidRPr="00982D01" w:rsidRDefault="0092421C" w:rsidP="0092421C">
      <w:pPr>
        <w:spacing w:line="360" w:lineRule="auto"/>
        <w:jc w:val="center"/>
        <w:rPr>
          <w:rFonts w:ascii="Times New Roman" w:hAnsi="Times New Roman" w:cs="Times New Roman"/>
          <w:b/>
          <w:bCs/>
          <w:sz w:val="28"/>
          <w:szCs w:val="28"/>
        </w:rPr>
      </w:pPr>
      <w:r w:rsidRPr="00982D01">
        <w:rPr>
          <w:rFonts w:ascii="Times New Roman" w:hAnsi="Times New Roman" w:cs="Times New Roman"/>
          <w:b/>
          <w:bCs/>
          <w:sz w:val="28"/>
          <w:szCs w:val="28"/>
        </w:rPr>
        <w:t>ВОСТОЧНАЯ ЕВРОПА В ЭПОХУ ПОСТКОММУНИСТИЧЕСКОЙ ТРАНСФОРМАЦИИ: КЛЮЧЕВЫЕ ПОДХОДЫ К ИЗУЧЕНИЮ КОЛЛЕКТИВНОЙ ПАМЯТИ РЕГИОНА</w:t>
      </w:r>
    </w:p>
    <w:p w14:paraId="51D46665" w14:textId="77777777" w:rsidR="0092421C" w:rsidRPr="00982D01" w:rsidRDefault="0092421C" w:rsidP="0092421C">
      <w:pPr>
        <w:spacing w:after="0" w:line="360" w:lineRule="auto"/>
        <w:ind w:firstLine="709"/>
        <w:jc w:val="both"/>
        <w:rPr>
          <w:rFonts w:ascii="Times New Roman" w:hAnsi="Times New Roman" w:cs="Times New Roman"/>
          <w:sz w:val="28"/>
          <w:szCs w:val="28"/>
        </w:rPr>
      </w:pPr>
      <w:r w:rsidRPr="00982D01">
        <w:rPr>
          <w:rFonts w:ascii="Times New Roman" w:hAnsi="Times New Roman" w:cs="Times New Roman"/>
          <w:sz w:val="28"/>
          <w:szCs w:val="28"/>
        </w:rPr>
        <w:t xml:space="preserve">Статья посвящена видоизменению коллективной памяти восточноевропейского пространства в контексте крушения социалистического лагеря. Авторы дают характеристику мнемоническому ландшафту Восточной Европы, обращая особое внимание на семантическую зависимость региона от трагических событий </w:t>
      </w:r>
      <w:r w:rsidRPr="00982D01">
        <w:rPr>
          <w:rFonts w:ascii="Times New Roman" w:hAnsi="Times New Roman" w:cs="Times New Roman"/>
          <w:sz w:val="28"/>
          <w:szCs w:val="28"/>
          <w:lang w:val="en-US"/>
        </w:rPr>
        <w:t>XX</w:t>
      </w:r>
      <w:r w:rsidRPr="00982D01">
        <w:rPr>
          <w:rFonts w:ascii="Times New Roman" w:hAnsi="Times New Roman" w:cs="Times New Roman"/>
          <w:sz w:val="28"/>
          <w:szCs w:val="28"/>
        </w:rPr>
        <w:t xml:space="preserve"> в.: Второй мировой войны, Холодной войны, революций 1989 г. Демонстрируется взаимосвязь между региональными процессами </w:t>
      </w:r>
      <w:proofErr w:type="spellStart"/>
      <w:r w:rsidRPr="00982D01">
        <w:rPr>
          <w:rFonts w:ascii="Times New Roman" w:hAnsi="Times New Roman" w:cs="Times New Roman"/>
          <w:sz w:val="28"/>
          <w:szCs w:val="28"/>
        </w:rPr>
        <w:t>нациостроительства</w:t>
      </w:r>
      <w:proofErr w:type="spellEnd"/>
      <w:r w:rsidRPr="00982D01">
        <w:rPr>
          <w:rFonts w:ascii="Times New Roman" w:hAnsi="Times New Roman" w:cs="Times New Roman"/>
          <w:sz w:val="28"/>
          <w:szCs w:val="28"/>
        </w:rPr>
        <w:t xml:space="preserve"> и коллективной памятью об указанных событиях. Анализируются работы зарубежных и отечественных аналитиков, посвященные </w:t>
      </w:r>
      <w:proofErr w:type="spellStart"/>
      <w:r w:rsidRPr="00982D01">
        <w:rPr>
          <w:rFonts w:ascii="Times New Roman" w:hAnsi="Times New Roman" w:cs="Times New Roman"/>
          <w:sz w:val="28"/>
          <w:szCs w:val="28"/>
        </w:rPr>
        <w:t>коммеморациям</w:t>
      </w:r>
      <w:proofErr w:type="spellEnd"/>
      <w:r w:rsidRPr="00982D01">
        <w:rPr>
          <w:rFonts w:ascii="Times New Roman" w:hAnsi="Times New Roman" w:cs="Times New Roman"/>
          <w:sz w:val="28"/>
          <w:szCs w:val="28"/>
        </w:rPr>
        <w:t xml:space="preserve"> на территории региона. В фокусе внимания исследователей находился преимущественно завершающий этап посткоммунистического транзита в Восточной Европе, в рамках которого новые национальные правительства обсуждали травматические аспекты собственного прошлого, учреждали институты памяти и участвовали в «войнах памяти». Специальные исследования, затрагивающие проблему видоизменения восточноевропейских </w:t>
      </w:r>
      <w:proofErr w:type="spellStart"/>
      <w:r w:rsidRPr="00982D01">
        <w:rPr>
          <w:rFonts w:ascii="Times New Roman" w:hAnsi="Times New Roman" w:cs="Times New Roman"/>
          <w:sz w:val="28"/>
          <w:szCs w:val="28"/>
        </w:rPr>
        <w:t>коммеморативных</w:t>
      </w:r>
      <w:proofErr w:type="spellEnd"/>
      <w:r w:rsidRPr="00982D01">
        <w:rPr>
          <w:rFonts w:ascii="Times New Roman" w:hAnsi="Times New Roman" w:cs="Times New Roman"/>
          <w:sz w:val="28"/>
          <w:szCs w:val="28"/>
        </w:rPr>
        <w:t xml:space="preserve"> трендов в 1980-е гг., по-прежнему появляются достаточно редко. Отмечается, что начальный этап посткоммунистической трансформации до сих пор не становился объектом комплексного исследования по причине отсутствия теоретической рамки, пригодной для изучения мемориального пространства в 1980-е гг. Авторы отмечают эвристический потенциал концепции «режимов памяти», предложенной М. Бернхардом и Я. Кубиком. Исследователи обратили </w:t>
      </w:r>
      <w:r w:rsidRPr="00982D01">
        <w:rPr>
          <w:rFonts w:ascii="Times New Roman" w:hAnsi="Times New Roman" w:cs="Times New Roman"/>
          <w:sz w:val="28"/>
          <w:szCs w:val="28"/>
        </w:rPr>
        <w:lastRenderedPageBreak/>
        <w:t xml:space="preserve">внимание на то, что тип «режима памяти» неразрывно связан с политическим режимом, который обуславливает конфигурацию </w:t>
      </w:r>
      <w:proofErr w:type="spellStart"/>
      <w:r w:rsidRPr="00982D01">
        <w:rPr>
          <w:rFonts w:ascii="Times New Roman" w:hAnsi="Times New Roman" w:cs="Times New Roman"/>
          <w:sz w:val="28"/>
          <w:szCs w:val="28"/>
        </w:rPr>
        <w:t>акторов</w:t>
      </w:r>
      <w:proofErr w:type="spellEnd"/>
      <w:r w:rsidRPr="00982D01">
        <w:rPr>
          <w:rFonts w:ascii="Times New Roman" w:hAnsi="Times New Roman" w:cs="Times New Roman"/>
          <w:sz w:val="28"/>
          <w:szCs w:val="28"/>
        </w:rPr>
        <w:t>, действующих в сфере политики памяти. Помимо этого, выдвигается гипотеза, что концепт «</w:t>
      </w:r>
      <w:proofErr w:type="spellStart"/>
      <w:r w:rsidRPr="00982D01">
        <w:rPr>
          <w:rFonts w:ascii="Times New Roman" w:hAnsi="Times New Roman" w:cs="Times New Roman"/>
          <w:sz w:val="28"/>
          <w:szCs w:val="28"/>
        </w:rPr>
        <w:t>контр-памяти</w:t>
      </w:r>
      <w:proofErr w:type="spellEnd"/>
      <w:r w:rsidRPr="00982D01">
        <w:rPr>
          <w:rFonts w:ascii="Times New Roman" w:hAnsi="Times New Roman" w:cs="Times New Roman"/>
          <w:sz w:val="28"/>
          <w:szCs w:val="28"/>
        </w:rPr>
        <w:t xml:space="preserve">», предложенный М. Фуко, может позволить более детально изучить альтернативные исторические нарративы, которые конструировались противниками коммунистических властей во время конфронтации 1980-х гг., а после крушения соцлагеря стали главенствовать в политике памяти большинства государств Восточной Европы. Авторы приходят к выводу, что конвергенция методологических подходов из области </w:t>
      </w:r>
      <w:proofErr w:type="spellStart"/>
      <w:r w:rsidRPr="00982D01">
        <w:rPr>
          <w:rFonts w:ascii="Times New Roman" w:hAnsi="Times New Roman" w:cs="Times New Roman"/>
          <w:sz w:val="28"/>
          <w:szCs w:val="28"/>
        </w:rPr>
        <w:t>транзитологии</w:t>
      </w:r>
      <w:proofErr w:type="spellEnd"/>
      <w:r w:rsidRPr="00982D01">
        <w:rPr>
          <w:rFonts w:ascii="Times New Roman" w:hAnsi="Times New Roman" w:cs="Times New Roman"/>
          <w:sz w:val="28"/>
          <w:szCs w:val="28"/>
        </w:rPr>
        <w:t xml:space="preserve"> и концептов коллективной памяти может открыть новые возможности для изучения мемориального пространства региона. В частности, выявить динамику деятельности </w:t>
      </w:r>
      <w:proofErr w:type="spellStart"/>
      <w:r w:rsidRPr="00982D01">
        <w:rPr>
          <w:rFonts w:ascii="Times New Roman" w:hAnsi="Times New Roman" w:cs="Times New Roman"/>
          <w:sz w:val="28"/>
          <w:szCs w:val="28"/>
        </w:rPr>
        <w:t>акторов</w:t>
      </w:r>
      <w:proofErr w:type="spellEnd"/>
      <w:r w:rsidRPr="00982D01">
        <w:rPr>
          <w:rFonts w:ascii="Times New Roman" w:hAnsi="Times New Roman" w:cs="Times New Roman"/>
          <w:sz w:val="28"/>
          <w:szCs w:val="28"/>
        </w:rPr>
        <w:t>, участвующих в процессе конструирования национальных нарративов, а также уточнить роль исторических дискурсов в стратегиях деятельности всех сторон конфронтации периода демократического транзита.</w:t>
      </w:r>
    </w:p>
    <w:p w14:paraId="5C690941" w14:textId="77777777" w:rsidR="0092421C" w:rsidRDefault="0092421C" w:rsidP="0092421C">
      <w:pPr>
        <w:spacing w:after="0" w:line="360" w:lineRule="auto"/>
        <w:ind w:firstLine="709"/>
        <w:jc w:val="both"/>
        <w:rPr>
          <w:rFonts w:ascii="Times New Roman" w:hAnsi="Times New Roman" w:cs="Times New Roman"/>
          <w:sz w:val="28"/>
          <w:szCs w:val="28"/>
        </w:rPr>
      </w:pPr>
      <w:r w:rsidRPr="00982D01">
        <w:rPr>
          <w:rFonts w:ascii="Times New Roman" w:hAnsi="Times New Roman" w:cs="Times New Roman"/>
          <w:b/>
          <w:bCs/>
          <w:sz w:val="28"/>
          <w:szCs w:val="28"/>
        </w:rPr>
        <w:t xml:space="preserve">Ключевые слова: </w:t>
      </w:r>
      <w:r w:rsidRPr="00982D01">
        <w:rPr>
          <w:rFonts w:ascii="Times New Roman" w:hAnsi="Times New Roman" w:cs="Times New Roman"/>
          <w:sz w:val="28"/>
          <w:szCs w:val="28"/>
        </w:rPr>
        <w:t>коллективная память, политика памяти, Восточная Европа,</w:t>
      </w:r>
      <w:r w:rsidRPr="00982D01">
        <w:rPr>
          <w:rFonts w:ascii="Times New Roman" w:hAnsi="Times New Roman" w:cs="Times New Roman"/>
          <w:b/>
          <w:bCs/>
          <w:sz w:val="28"/>
          <w:szCs w:val="28"/>
        </w:rPr>
        <w:t xml:space="preserve"> </w:t>
      </w:r>
      <w:r w:rsidRPr="00982D01">
        <w:rPr>
          <w:rFonts w:ascii="Times New Roman" w:hAnsi="Times New Roman" w:cs="Times New Roman"/>
          <w:sz w:val="28"/>
          <w:szCs w:val="28"/>
        </w:rPr>
        <w:t>посткоммунистическая трансформация, режимы памяти, национальные нарративы, демократический транзит.</w:t>
      </w:r>
    </w:p>
    <w:p w14:paraId="4494F747" w14:textId="77777777" w:rsidR="0092421C" w:rsidRPr="00982D01" w:rsidRDefault="0092421C" w:rsidP="0092421C">
      <w:pPr>
        <w:spacing w:after="0" w:line="360" w:lineRule="auto"/>
        <w:jc w:val="right"/>
        <w:rPr>
          <w:rFonts w:ascii="Times New Roman" w:hAnsi="Times New Roman" w:cs="Times New Roman"/>
          <w:b/>
          <w:bCs/>
          <w:sz w:val="28"/>
          <w:szCs w:val="28"/>
          <w:lang w:val="en-US"/>
        </w:rPr>
      </w:pPr>
      <w:r w:rsidRPr="00982D01">
        <w:rPr>
          <w:rFonts w:ascii="Times New Roman" w:hAnsi="Times New Roman" w:cs="Times New Roman"/>
          <w:b/>
          <w:bCs/>
          <w:sz w:val="28"/>
          <w:szCs w:val="28"/>
          <w:lang w:val="en-US"/>
        </w:rPr>
        <w:t xml:space="preserve">Victor Yu. </w:t>
      </w:r>
      <w:proofErr w:type="spellStart"/>
      <w:r w:rsidRPr="00982D01">
        <w:rPr>
          <w:rFonts w:ascii="Times New Roman" w:hAnsi="Times New Roman" w:cs="Times New Roman"/>
          <w:b/>
          <w:bCs/>
          <w:sz w:val="28"/>
          <w:szCs w:val="28"/>
          <w:lang w:val="en-US"/>
        </w:rPr>
        <w:t>Apryshchenko</w:t>
      </w:r>
      <w:proofErr w:type="spellEnd"/>
    </w:p>
    <w:p w14:paraId="21DF3184" w14:textId="77777777" w:rsidR="0092421C" w:rsidRPr="00982D01" w:rsidRDefault="0092421C" w:rsidP="0092421C">
      <w:pPr>
        <w:spacing w:after="0" w:line="360" w:lineRule="auto"/>
        <w:jc w:val="right"/>
        <w:rPr>
          <w:rFonts w:ascii="Times New Roman" w:hAnsi="Times New Roman" w:cs="Times New Roman"/>
          <w:b/>
          <w:bCs/>
          <w:sz w:val="28"/>
          <w:szCs w:val="28"/>
          <w:lang w:val="en-US"/>
        </w:rPr>
      </w:pPr>
      <w:r w:rsidRPr="00982D01">
        <w:rPr>
          <w:rFonts w:ascii="Times New Roman" w:hAnsi="Times New Roman" w:cs="Times New Roman"/>
          <w:b/>
          <w:bCs/>
          <w:sz w:val="28"/>
          <w:szCs w:val="28"/>
          <w:lang w:val="en-US"/>
        </w:rPr>
        <w:t xml:space="preserve">Mikhail A. </w:t>
      </w:r>
      <w:proofErr w:type="spellStart"/>
      <w:r w:rsidRPr="00982D01">
        <w:rPr>
          <w:rFonts w:ascii="Times New Roman" w:hAnsi="Times New Roman" w:cs="Times New Roman"/>
          <w:b/>
          <w:bCs/>
          <w:sz w:val="28"/>
          <w:szCs w:val="28"/>
          <w:lang w:val="en-US"/>
        </w:rPr>
        <w:t>Martynenko</w:t>
      </w:r>
      <w:proofErr w:type="spellEnd"/>
    </w:p>
    <w:p w14:paraId="0A7B5CD0" w14:textId="77777777" w:rsidR="0092421C" w:rsidRPr="00982D01" w:rsidRDefault="0092421C" w:rsidP="0092421C">
      <w:pPr>
        <w:spacing w:line="360" w:lineRule="auto"/>
        <w:jc w:val="center"/>
        <w:rPr>
          <w:rFonts w:ascii="Times New Roman" w:hAnsi="Times New Roman" w:cs="Times New Roman"/>
          <w:b/>
          <w:bCs/>
          <w:sz w:val="28"/>
          <w:szCs w:val="28"/>
          <w:lang w:val="en-US"/>
        </w:rPr>
      </w:pPr>
      <w:r w:rsidRPr="00982D01">
        <w:rPr>
          <w:rFonts w:ascii="Times New Roman" w:hAnsi="Times New Roman" w:cs="Times New Roman"/>
          <w:b/>
          <w:bCs/>
          <w:sz w:val="28"/>
          <w:szCs w:val="28"/>
          <w:lang w:val="en-US"/>
        </w:rPr>
        <w:t>EASTERN EUROPE IN THE ERA OF POST-COMMUNIST TRANSFORMATION: KEY APPROACHES TO THE STUDY OF THE COLLECTIVE MEMORY OF THE REGION</w:t>
      </w:r>
    </w:p>
    <w:p w14:paraId="39A45275" w14:textId="77777777" w:rsidR="0092421C" w:rsidRPr="00982D01" w:rsidRDefault="0092421C" w:rsidP="0092421C">
      <w:pPr>
        <w:spacing w:after="0" w:line="360" w:lineRule="auto"/>
        <w:ind w:firstLine="709"/>
        <w:jc w:val="both"/>
        <w:rPr>
          <w:rFonts w:ascii="Times New Roman" w:hAnsi="Times New Roman" w:cs="Times New Roman"/>
          <w:b/>
          <w:bCs/>
          <w:sz w:val="28"/>
          <w:szCs w:val="28"/>
          <w:lang w:val="en-US"/>
        </w:rPr>
      </w:pPr>
      <w:r w:rsidRPr="00982D01">
        <w:rPr>
          <w:rFonts w:ascii="Times New Roman" w:hAnsi="Times New Roman" w:cs="Times New Roman"/>
          <w:sz w:val="28"/>
          <w:szCs w:val="28"/>
          <w:lang w:val="en-US"/>
        </w:rPr>
        <w:t xml:space="preserve">The article is devoted to the modification of the collective memory of the Eastern European space in the context of the collapse of the socialist camp. The authors characterize the mnemonic landscape of Eastern Europe, paying special attention to the semantic dependence of the region on the tragic events of the XX century: the Second World War, the Cold War, the revolutions of 1989. The interrelation between the regional processes of nation-building and the collective memory of these events is demonstrated. The article analyzes the works of foreign </w:t>
      </w:r>
      <w:r w:rsidRPr="00982D01">
        <w:rPr>
          <w:rFonts w:ascii="Times New Roman" w:hAnsi="Times New Roman" w:cs="Times New Roman"/>
          <w:sz w:val="28"/>
          <w:szCs w:val="28"/>
          <w:lang w:val="en-US"/>
        </w:rPr>
        <w:lastRenderedPageBreak/>
        <w:t xml:space="preserve">and domestic analysts dedicated to memorable dates in the region. The focus of the researchers' attention was mainly on the final stage of post-communist transit in Eastern Europe, in which the new national governments discussed the traumatic aspects of their own past, established memory institutions and participated in «memory wars». Special studies dealing with the problem of the modification of Eastern European commemorative trends in the 1980s still appear quite rarely. It is noted that the initial stage of the post-communist transformation has not yet become the object of a comprehensive study due to the lack of a theoretical framework suitable for studying the memorial space in the 1980s. The authors note the heuristic potential of the concept of «memory regimes» proposed by M. Bernhard and Y. </w:t>
      </w:r>
      <w:proofErr w:type="spellStart"/>
      <w:r w:rsidRPr="00982D01">
        <w:rPr>
          <w:rFonts w:ascii="Times New Roman" w:hAnsi="Times New Roman" w:cs="Times New Roman"/>
          <w:sz w:val="28"/>
          <w:szCs w:val="28"/>
          <w:lang w:val="en-US"/>
        </w:rPr>
        <w:t>Kubik</w:t>
      </w:r>
      <w:proofErr w:type="spellEnd"/>
      <w:r w:rsidRPr="00982D01">
        <w:rPr>
          <w:rFonts w:ascii="Times New Roman" w:hAnsi="Times New Roman" w:cs="Times New Roman"/>
          <w:sz w:val="28"/>
          <w:szCs w:val="28"/>
          <w:lang w:val="en-US"/>
        </w:rPr>
        <w:t xml:space="preserve">. The researchers drew attention to the fact that the type of «memory regime» is inextricably linked with the political regime, which determines the configuration of actors operating in the field of memory politics. In addition, the hypothesis is put forward that the concept of «counter-memory» proposed by M. Foucault may allow for a more detailed study of alternative historical narratives that were constructed by opponents of the communist authorities during the confrontation of the 1980s, and after the collapse of the socialist camp began to dominate the memory politics of most Eastern European states. The authors conclude that the convergence of methodological approaches from the field of </w:t>
      </w:r>
      <w:proofErr w:type="spellStart"/>
      <w:r w:rsidRPr="00982D01">
        <w:rPr>
          <w:rFonts w:ascii="Times New Roman" w:hAnsi="Times New Roman" w:cs="Times New Roman"/>
          <w:sz w:val="28"/>
          <w:szCs w:val="28"/>
          <w:lang w:val="en-US"/>
        </w:rPr>
        <w:t>transitology</w:t>
      </w:r>
      <w:proofErr w:type="spellEnd"/>
      <w:r w:rsidRPr="00982D01">
        <w:rPr>
          <w:rFonts w:ascii="Times New Roman" w:hAnsi="Times New Roman" w:cs="Times New Roman"/>
          <w:sz w:val="28"/>
          <w:szCs w:val="28"/>
          <w:lang w:val="en-US"/>
        </w:rPr>
        <w:t xml:space="preserve"> and concepts of collective memory can open up new opportunities for studying the memorial space of the region. They are as follows: to identify the dynamics of the actors involved in the process of constructing national narratives, as well as to clarify the role of historical discourses in the strategies of activity of all parties to the confrontation of the period of democratic transit.</w:t>
      </w:r>
    </w:p>
    <w:p w14:paraId="6FFC2380" w14:textId="77777777" w:rsidR="0092421C" w:rsidRPr="00982D01" w:rsidRDefault="0092421C" w:rsidP="0092421C">
      <w:pPr>
        <w:spacing w:after="0" w:line="360" w:lineRule="auto"/>
        <w:ind w:firstLine="709"/>
        <w:jc w:val="both"/>
        <w:rPr>
          <w:rFonts w:ascii="Times New Roman" w:hAnsi="Times New Roman" w:cs="Times New Roman"/>
          <w:b/>
          <w:bCs/>
          <w:sz w:val="28"/>
          <w:szCs w:val="28"/>
          <w:lang w:val="en-US"/>
        </w:rPr>
      </w:pPr>
      <w:r w:rsidRPr="00982D01">
        <w:rPr>
          <w:rFonts w:ascii="Times New Roman" w:hAnsi="Times New Roman" w:cs="Times New Roman"/>
          <w:b/>
          <w:bCs/>
          <w:sz w:val="28"/>
          <w:szCs w:val="28"/>
          <w:lang w:val="en-US"/>
        </w:rPr>
        <w:t xml:space="preserve">Key words: </w:t>
      </w:r>
      <w:r w:rsidRPr="00982D01">
        <w:rPr>
          <w:rFonts w:ascii="Times New Roman" w:hAnsi="Times New Roman" w:cs="Times New Roman"/>
          <w:sz w:val="28"/>
          <w:szCs w:val="28"/>
          <w:lang w:val="en-US"/>
        </w:rPr>
        <w:t>collective memory, politics of memory, Eastern Europe, post-communist transformation, memory regimes, national narratives, democratic transit.</w:t>
      </w:r>
    </w:p>
    <w:p w14:paraId="36EACCE7" w14:textId="77777777" w:rsidR="0092421C" w:rsidRDefault="0092421C" w:rsidP="0092421C">
      <w:pPr>
        <w:spacing w:after="0" w:line="360" w:lineRule="auto"/>
        <w:jc w:val="both"/>
        <w:rPr>
          <w:rFonts w:ascii="Times New Roman" w:hAnsi="Times New Roman" w:cs="Times New Roman"/>
          <w:sz w:val="28"/>
          <w:szCs w:val="28"/>
          <w:lang w:val="en-US"/>
        </w:rPr>
      </w:pPr>
    </w:p>
    <w:p w14:paraId="7A00A496" w14:textId="77777777" w:rsidR="0092421C" w:rsidRPr="00982D01" w:rsidRDefault="0092421C" w:rsidP="0092421C">
      <w:pPr>
        <w:spacing w:after="0" w:line="360" w:lineRule="auto"/>
        <w:ind w:firstLine="709"/>
        <w:jc w:val="both"/>
        <w:rPr>
          <w:rFonts w:ascii="Times New Roman" w:hAnsi="Times New Roman" w:cs="Times New Roman"/>
          <w:b/>
          <w:bCs/>
          <w:sz w:val="28"/>
          <w:szCs w:val="28"/>
        </w:rPr>
      </w:pPr>
      <w:r w:rsidRPr="00982D01">
        <w:rPr>
          <w:rFonts w:ascii="Times New Roman" w:hAnsi="Times New Roman" w:cs="Times New Roman"/>
          <w:b/>
          <w:bCs/>
          <w:sz w:val="28"/>
          <w:szCs w:val="28"/>
        </w:rPr>
        <w:t>УДК 94(41/99)</w:t>
      </w:r>
    </w:p>
    <w:p w14:paraId="05B7002A" w14:textId="77777777" w:rsidR="0092421C" w:rsidRPr="000A70E5" w:rsidRDefault="0092421C" w:rsidP="0092421C">
      <w:pPr>
        <w:spacing w:after="0" w:line="360" w:lineRule="auto"/>
        <w:ind w:firstLine="709"/>
        <w:jc w:val="right"/>
        <w:rPr>
          <w:rFonts w:ascii="Times New Roman" w:hAnsi="Times New Roman" w:cs="Times New Roman"/>
          <w:b/>
          <w:bCs/>
          <w:sz w:val="28"/>
          <w:szCs w:val="28"/>
        </w:rPr>
      </w:pPr>
      <w:bookmarkStart w:id="0" w:name="_Hlk106560717"/>
      <w:r w:rsidRPr="000A70E5">
        <w:rPr>
          <w:rFonts w:ascii="Times New Roman" w:hAnsi="Times New Roman" w:cs="Times New Roman"/>
          <w:b/>
          <w:bCs/>
          <w:sz w:val="28"/>
          <w:szCs w:val="28"/>
        </w:rPr>
        <w:t>http://doi.org/</w:t>
      </w:r>
      <w:r w:rsidRPr="000A70E5">
        <w:t xml:space="preserve"> </w:t>
      </w:r>
      <w:r w:rsidRPr="000A70E5">
        <w:rPr>
          <w:rFonts w:ascii="Times New Roman" w:hAnsi="Times New Roman" w:cs="Times New Roman"/>
          <w:b/>
          <w:bCs/>
          <w:sz w:val="28"/>
          <w:szCs w:val="28"/>
        </w:rPr>
        <w:t>10.37493/2409-1030.2022.2.2</w:t>
      </w:r>
    </w:p>
    <w:p w14:paraId="588DED80" w14:textId="77777777" w:rsidR="0092421C" w:rsidRPr="00982D01" w:rsidRDefault="0092421C" w:rsidP="0092421C">
      <w:pPr>
        <w:spacing w:after="0" w:line="360" w:lineRule="auto"/>
        <w:ind w:firstLine="709"/>
        <w:jc w:val="right"/>
        <w:rPr>
          <w:rFonts w:ascii="Times New Roman" w:hAnsi="Times New Roman" w:cs="Times New Roman"/>
          <w:b/>
          <w:sz w:val="28"/>
          <w:szCs w:val="28"/>
        </w:rPr>
      </w:pPr>
      <w:r w:rsidRPr="00982D01">
        <w:rPr>
          <w:rFonts w:ascii="Times New Roman" w:hAnsi="Times New Roman" w:cs="Times New Roman"/>
          <w:b/>
          <w:sz w:val="28"/>
          <w:szCs w:val="28"/>
        </w:rPr>
        <w:t>Н.Ф. Вирт</w:t>
      </w:r>
    </w:p>
    <w:p w14:paraId="57DD21B6" w14:textId="77777777" w:rsidR="0092421C" w:rsidRPr="00982D01" w:rsidRDefault="0092421C" w:rsidP="0092421C">
      <w:pPr>
        <w:spacing w:after="0" w:line="360" w:lineRule="auto"/>
        <w:ind w:firstLine="709"/>
        <w:jc w:val="center"/>
        <w:rPr>
          <w:rFonts w:ascii="Times New Roman" w:hAnsi="Times New Roman" w:cs="Times New Roman"/>
          <w:b/>
          <w:sz w:val="28"/>
          <w:szCs w:val="28"/>
        </w:rPr>
      </w:pPr>
      <w:bookmarkStart w:id="1" w:name="_Hlk106560638"/>
      <w:r w:rsidRPr="00982D01">
        <w:rPr>
          <w:rFonts w:ascii="Times New Roman" w:hAnsi="Times New Roman" w:cs="Times New Roman"/>
          <w:b/>
          <w:sz w:val="28"/>
          <w:szCs w:val="28"/>
        </w:rPr>
        <w:lastRenderedPageBreak/>
        <w:t>ПРОТЕСТАНТСКИЙ ФАКТОР В ПОБЕДЕ П.ГИНДЕНБУРГА НА ПРЕЗИДЕНТСКИХ ВЫБОРАХ В ГЕРМАНИИ 1925 г.</w:t>
      </w:r>
      <w:bookmarkEnd w:id="0"/>
      <w:r w:rsidRPr="00982D01">
        <w:rPr>
          <w:rFonts w:ascii="Times New Roman" w:hAnsi="Times New Roman" w:cs="Times New Roman"/>
          <w:b/>
          <w:sz w:val="28"/>
          <w:szCs w:val="28"/>
          <w:vertAlign w:val="superscript"/>
        </w:rPr>
        <w:footnoteReference w:id="1"/>
      </w:r>
    </w:p>
    <w:bookmarkEnd w:id="1"/>
    <w:p w14:paraId="596337A1" w14:textId="77777777" w:rsidR="0092421C" w:rsidRPr="00982D01" w:rsidRDefault="0092421C" w:rsidP="0092421C">
      <w:pPr>
        <w:spacing w:after="0" w:line="360" w:lineRule="auto"/>
        <w:ind w:firstLine="709"/>
        <w:jc w:val="both"/>
        <w:rPr>
          <w:rFonts w:ascii="Times New Roman" w:hAnsi="Times New Roman" w:cs="Times New Roman"/>
          <w:sz w:val="28"/>
          <w:szCs w:val="28"/>
        </w:rPr>
      </w:pPr>
      <w:r w:rsidRPr="00982D01">
        <w:rPr>
          <w:rFonts w:ascii="Times New Roman" w:hAnsi="Times New Roman" w:cs="Times New Roman"/>
          <w:sz w:val="28"/>
          <w:szCs w:val="28"/>
        </w:rPr>
        <w:t xml:space="preserve">В статье рассматривается влияние протестантского сообщества Веймарской республики на президентские выборы 1925 г. Автором анализируется использование религиозных противоречий внутри германского общества для мобилизации электората в поддержку кандидатуры П. Гинденбурга. В статье подчеркивается, что религиозный аспект выборов особенно актуален в рамках изучения государственно-конфессиональных отношений в Германии 20-х гг. ХХ в. и понимания степени влияния религии на политику. </w:t>
      </w:r>
    </w:p>
    <w:p w14:paraId="4E5A06A3" w14:textId="77777777" w:rsidR="0092421C" w:rsidRPr="00982D01" w:rsidRDefault="0092421C" w:rsidP="0092421C">
      <w:pPr>
        <w:spacing w:after="0" w:line="360" w:lineRule="auto"/>
        <w:ind w:firstLine="709"/>
        <w:jc w:val="both"/>
        <w:rPr>
          <w:rFonts w:ascii="Times New Roman" w:hAnsi="Times New Roman" w:cs="Times New Roman"/>
          <w:sz w:val="28"/>
          <w:szCs w:val="28"/>
        </w:rPr>
      </w:pPr>
      <w:r w:rsidRPr="00982D01">
        <w:rPr>
          <w:rFonts w:ascii="Times New Roman" w:hAnsi="Times New Roman" w:cs="Times New Roman"/>
          <w:sz w:val="28"/>
          <w:szCs w:val="28"/>
        </w:rPr>
        <w:t xml:space="preserve">В исследовании были выявлены причины и особенности формирования предвыборных межпартийных коалиций, а также отмечена роль религиозного фактора в создании «Имперского блока». Новизной работы стал анализ изменений электоральной базы кандидатов после первого тура выборов. Автором объясняются отличия политических симпатий в промышленных и аграрных регионах Германии, а также противоречия в рядах Баварской народной партии воздействием религиозного фактора. В связи с политическим влиянием религии охарактеризовано участие протестантского духовенства в проведении избирательной кампании в поддержку кандидата от националистических сил. В качестве примера обозначено влияние выдвижения от коалиции СДПГ и партии Центра католика В. Маркса на результаты выборов. Значительная часть протестантского духовенства и протестантских организаций выступила в поддержку П. Гинденбурга. Агитация за протестантского кандидата с церковных кафедр привела к мобилизации консервативного религиозного электората и дальнейшей победе П. Гинденбурга во втором туре президентских выборов 1925 г. </w:t>
      </w:r>
    </w:p>
    <w:p w14:paraId="6EBD6B50" w14:textId="77777777" w:rsidR="0092421C" w:rsidRDefault="0092421C" w:rsidP="0092421C">
      <w:pPr>
        <w:spacing w:after="0" w:line="360" w:lineRule="auto"/>
        <w:ind w:firstLine="709"/>
        <w:jc w:val="both"/>
        <w:rPr>
          <w:rFonts w:ascii="Times New Roman" w:hAnsi="Times New Roman" w:cs="Times New Roman"/>
          <w:sz w:val="28"/>
          <w:szCs w:val="28"/>
        </w:rPr>
      </w:pPr>
      <w:r w:rsidRPr="00982D01">
        <w:rPr>
          <w:rFonts w:ascii="Times New Roman" w:hAnsi="Times New Roman" w:cs="Times New Roman"/>
          <w:b/>
          <w:sz w:val="28"/>
          <w:szCs w:val="28"/>
        </w:rPr>
        <w:t xml:space="preserve">Ключевые слова: </w:t>
      </w:r>
      <w:r w:rsidRPr="00982D01">
        <w:rPr>
          <w:rFonts w:ascii="Times New Roman" w:hAnsi="Times New Roman" w:cs="Times New Roman"/>
          <w:sz w:val="28"/>
          <w:szCs w:val="28"/>
        </w:rPr>
        <w:t>протестантизм, президентские выборы, Гинденбург, Веймарская республика, Германия.</w:t>
      </w:r>
    </w:p>
    <w:p w14:paraId="73CABC91" w14:textId="77777777" w:rsidR="0092421C" w:rsidRPr="00982D01" w:rsidRDefault="0092421C" w:rsidP="0092421C">
      <w:pPr>
        <w:spacing w:after="0" w:line="360" w:lineRule="auto"/>
        <w:ind w:firstLine="709"/>
        <w:jc w:val="right"/>
        <w:rPr>
          <w:rFonts w:ascii="Times New Roman" w:hAnsi="Times New Roman" w:cs="Times New Roman"/>
          <w:b/>
          <w:sz w:val="28"/>
          <w:szCs w:val="28"/>
          <w:lang w:val="en-US"/>
        </w:rPr>
      </w:pPr>
      <w:proofErr w:type="spellStart"/>
      <w:r w:rsidRPr="00982D01">
        <w:rPr>
          <w:rFonts w:ascii="Times New Roman" w:hAnsi="Times New Roman" w:cs="Times New Roman"/>
          <w:b/>
          <w:sz w:val="28"/>
          <w:szCs w:val="28"/>
          <w:lang w:val="en-US"/>
        </w:rPr>
        <w:lastRenderedPageBreak/>
        <w:t>Nikiloy</w:t>
      </w:r>
      <w:proofErr w:type="spellEnd"/>
      <w:r w:rsidRPr="00982D01">
        <w:rPr>
          <w:rFonts w:ascii="Times New Roman" w:hAnsi="Times New Roman" w:cs="Times New Roman"/>
          <w:b/>
          <w:sz w:val="28"/>
          <w:szCs w:val="28"/>
          <w:lang w:val="en-US"/>
        </w:rPr>
        <w:t xml:space="preserve"> F. </w:t>
      </w:r>
      <w:proofErr w:type="spellStart"/>
      <w:r w:rsidRPr="00982D01">
        <w:rPr>
          <w:rFonts w:ascii="Times New Roman" w:hAnsi="Times New Roman" w:cs="Times New Roman"/>
          <w:b/>
          <w:sz w:val="28"/>
          <w:szCs w:val="28"/>
          <w:lang w:val="en-US"/>
        </w:rPr>
        <w:t>Virt</w:t>
      </w:r>
      <w:proofErr w:type="spellEnd"/>
    </w:p>
    <w:p w14:paraId="43B10514" w14:textId="77777777" w:rsidR="0092421C" w:rsidRPr="00982D01" w:rsidRDefault="0092421C" w:rsidP="0092421C">
      <w:pPr>
        <w:spacing w:after="0" w:line="360" w:lineRule="auto"/>
        <w:ind w:firstLine="709"/>
        <w:jc w:val="center"/>
        <w:rPr>
          <w:rFonts w:ascii="Times New Roman" w:hAnsi="Times New Roman" w:cs="Times New Roman"/>
          <w:b/>
          <w:sz w:val="28"/>
          <w:szCs w:val="28"/>
          <w:lang w:val="en-US"/>
        </w:rPr>
      </w:pPr>
      <w:r w:rsidRPr="00982D01">
        <w:rPr>
          <w:rFonts w:ascii="Times New Roman" w:hAnsi="Times New Roman" w:cs="Times New Roman"/>
          <w:b/>
          <w:sz w:val="28"/>
          <w:szCs w:val="28"/>
          <w:lang w:val="en-US"/>
        </w:rPr>
        <w:t>THE PROTESTANT FACTOR IN P. HINDENBURG'S VICTORY IN THE GERMAN PRESIDENTIAL ELECTIONS OF 1925</w:t>
      </w:r>
      <w:r w:rsidRPr="00982D01">
        <w:rPr>
          <w:rFonts w:ascii="Times New Roman" w:hAnsi="Times New Roman" w:cs="Times New Roman"/>
          <w:b/>
          <w:sz w:val="28"/>
          <w:szCs w:val="28"/>
          <w:vertAlign w:val="superscript"/>
          <w:lang w:val="en-US"/>
        </w:rPr>
        <w:footnoteReference w:id="2"/>
      </w:r>
    </w:p>
    <w:p w14:paraId="791CBA96" w14:textId="77777777" w:rsidR="0092421C" w:rsidRPr="00982D01" w:rsidRDefault="0092421C" w:rsidP="0092421C">
      <w:pPr>
        <w:spacing w:after="0" w:line="360" w:lineRule="auto"/>
        <w:ind w:firstLine="709"/>
        <w:jc w:val="both"/>
        <w:rPr>
          <w:rFonts w:ascii="Times New Roman" w:hAnsi="Times New Roman" w:cs="Times New Roman"/>
          <w:sz w:val="28"/>
          <w:szCs w:val="28"/>
          <w:lang w:val="en-US"/>
        </w:rPr>
      </w:pPr>
      <w:r w:rsidRPr="00982D01">
        <w:rPr>
          <w:rFonts w:ascii="Times New Roman" w:hAnsi="Times New Roman" w:cs="Times New Roman"/>
          <w:sz w:val="28"/>
          <w:szCs w:val="28"/>
          <w:lang w:val="en-US"/>
        </w:rPr>
        <w:t>The article deals with the influence of the Protestant community of the Weimar Republic on the presidential elections of 1925. The use of religious contradictions within German society to mobilize the electorate in support of P. Hindenburg's candidacy is analyzed. The religious aspect of elections is especially relevant in the study of state-confessional relations in Germany in the 1920s and understanding the degree of influence of religion on politics.</w:t>
      </w:r>
    </w:p>
    <w:p w14:paraId="5E2F0307" w14:textId="77777777" w:rsidR="0092421C" w:rsidRPr="00982D01" w:rsidRDefault="0092421C" w:rsidP="0092421C">
      <w:pPr>
        <w:spacing w:after="0" w:line="360" w:lineRule="auto"/>
        <w:ind w:firstLine="709"/>
        <w:jc w:val="both"/>
        <w:rPr>
          <w:rFonts w:ascii="Times New Roman" w:hAnsi="Times New Roman" w:cs="Times New Roman"/>
          <w:sz w:val="28"/>
          <w:szCs w:val="28"/>
          <w:lang w:val="en-US"/>
        </w:rPr>
      </w:pPr>
      <w:r w:rsidRPr="00982D01">
        <w:rPr>
          <w:rFonts w:ascii="Times New Roman" w:hAnsi="Times New Roman" w:cs="Times New Roman"/>
          <w:sz w:val="28"/>
          <w:szCs w:val="28"/>
          <w:lang w:val="en-US"/>
        </w:rPr>
        <w:t>The reasons and features of the formation of pre-election inter-party coalitions are revealed. The role of the religious factor in the creation of the «Imperial block» is noted. Changes in the electoral base of candidates after the first round of elections are analyzed. The differences in political sympathies in the industrial and agrarian regions of Germany, as well as the contradictions in the ranks of the Bavarian People's Party under the influence of the religious factor, are explained. The participation of the Protestant clergy in the election campaign in support of the candidate from the nationalist forces is characterized. The influence of the nomination from the coalition of the SPD and the Center Party of the Catholic V. Marx on the election results is indicated. A significant part of the Protestant clergy and Protestant organizations came out in support of P. Hindenburg. Campaigning for a Protestant candidate from church pulpits led to the mobilization of the conservative religious electorate and further victory of P. Hindenburg in the second round of the presidential elections in 1925.</w:t>
      </w:r>
    </w:p>
    <w:p w14:paraId="4C940B2B" w14:textId="77777777" w:rsidR="0092421C" w:rsidRPr="00982D01" w:rsidRDefault="0092421C" w:rsidP="0092421C">
      <w:pPr>
        <w:spacing w:after="0" w:line="360" w:lineRule="auto"/>
        <w:ind w:firstLine="709"/>
        <w:jc w:val="both"/>
        <w:rPr>
          <w:rFonts w:ascii="Times New Roman" w:hAnsi="Times New Roman" w:cs="Times New Roman"/>
          <w:sz w:val="28"/>
          <w:szCs w:val="28"/>
          <w:lang w:val="en-US"/>
        </w:rPr>
      </w:pPr>
      <w:r w:rsidRPr="00982D01">
        <w:rPr>
          <w:rFonts w:ascii="Times New Roman" w:hAnsi="Times New Roman" w:cs="Times New Roman"/>
          <w:b/>
          <w:sz w:val="28"/>
          <w:szCs w:val="28"/>
          <w:lang w:val="en-US"/>
        </w:rPr>
        <w:t>Key words:</w:t>
      </w:r>
      <w:r w:rsidRPr="00982D01">
        <w:rPr>
          <w:rFonts w:ascii="Times New Roman" w:hAnsi="Times New Roman" w:cs="Times New Roman"/>
          <w:sz w:val="28"/>
          <w:szCs w:val="28"/>
          <w:lang w:val="en-US"/>
        </w:rPr>
        <w:t xml:space="preserve"> Protestantism, presidential elections, Hindenburg, Weimar Republic, Germany.</w:t>
      </w:r>
    </w:p>
    <w:p w14:paraId="1D7041DE" w14:textId="77777777" w:rsidR="0092421C" w:rsidRPr="00982D01" w:rsidRDefault="0092421C" w:rsidP="0092421C">
      <w:pPr>
        <w:rPr>
          <w:b/>
          <w:bCs/>
        </w:rPr>
      </w:pPr>
      <w:r w:rsidRPr="00982D01">
        <w:rPr>
          <w:rFonts w:ascii="Times New Roman" w:hAnsi="Times New Roman" w:cs="Times New Roman"/>
          <w:b/>
          <w:bCs/>
          <w:sz w:val="28"/>
          <w:szCs w:val="28"/>
        </w:rPr>
        <w:t>УДК 94(3)</w:t>
      </w:r>
    </w:p>
    <w:p w14:paraId="769BB03F" w14:textId="77777777" w:rsidR="0092421C" w:rsidRDefault="0092421C" w:rsidP="0092421C">
      <w:pPr>
        <w:jc w:val="right"/>
        <w:rPr>
          <w:rFonts w:ascii="Times New Roman" w:hAnsi="Times New Roman" w:cs="Times New Roman"/>
          <w:b/>
          <w:bCs/>
          <w:sz w:val="28"/>
          <w:szCs w:val="28"/>
        </w:rPr>
      </w:pPr>
      <w:r w:rsidRPr="000A70E5">
        <w:rPr>
          <w:rFonts w:ascii="Times New Roman" w:hAnsi="Times New Roman" w:cs="Times New Roman"/>
          <w:b/>
          <w:bCs/>
          <w:sz w:val="28"/>
          <w:szCs w:val="28"/>
        </w:rPr>
        <w:t>http://doi.org/</w:t>
      </w:r>
      <w:r w:rsidRPr="001B37EE">
        <w:rPr>
          <w:rFonts w:ascii="Times New Roman" w:hAnsi="Times New Roman" w:cs="Times New Roman"/>
          <w:b/>
          <w:bCs/>
          <w:sz w:val="28"/>
          <w:szCs w:val="28"/>
        </w:rPr>
        <w:t>10.37493/2409-1030.2022.2.3</w:t>
      </w:r>
    </w:p>
    <w:p w14:paraId="4DC54F7B" w14:textId="77777777" w:rsidR="0092421C" w:rsidRPr="00982D01" w:rsidRDefault="0092421C" w:rsidP="0092421C">
      <w:pPr>
        <w:jc w:val="right"/>
        <w:rPr>
          <w:rFonts w:ascii="Times New Roman" w:hAnsi="Times New Roman" w:cs="Times New Roman"/>
          <w:b/>
          <w:bCs/>
          <w:sz w:val="28"/>
          <w:szCs w:val="28"/>
        </w:rPr>
      </w:pPr>
      <w:r w:rsidRPr="00982D01">
        <w:rPr>
          <w:rFonts w:ascii="Times New Roman" w:hAnsi="Times New Roman" w:cs="Times New Roman"/>
          <w:b/>
          <w:bCs/>
          <w:sz w:val="28"/>
          <w:szCs w:val="28"/>
        </w:rPr>
        <w:t xml:space="preserve">С.С. </w:t>
      </w:r>
      <w:proofErr w:type="spellStart"/>
      <w:r w:rsidRPr="00982D01">
        <w:rPr>
          <w:rFonts w:ascii="Times New Roman" w:hAnsi="Times New Roman" w:cs="Times New Roman"/>
          <w:b/>
          <w:bCs/>
          <w:sz w:val="28"/>
          <w:szCs w:val="28"/>
        </w:rPr>
        <w:t>Казаров</w:t>
      </w:r>
      <w:proofErr w:type="spellEnd"/>
      <w:r w:rsidRPr="00982D01">
        <w:rPr>
          <w:rFonts w:ascii="Times New Roman" w:hAnsi="Times New Roman" w:cs="Times New Roman"/>
          <w:b/>
          <w:bCs/>
          <w:sz w:val="28"/>
          <w:szCs w:val="28"/>
        </w:rPr>
        <w:t xml:space="preserve"> </w:t>
      </w:r>
    </w:p>
    <w:p w14:paraId="2586FF6C" w14:textId="77777777" w:rsidR="0092421C" w:rsidRPr="00982D01" w:rsidRDefault="0092421C" w:rsidP="0092421C">
      <w:pPr>
        <w:jc w:val="center"/>
        <w:rPr>
          <w:rFonts w:ascii="Times New Roman" w:hAnsi="Times New Roman" w:cs="Times New Roman"/>
          <w:b/>
          <w:sz w:val="28"/>
          <w:szCs w:val="28"/>
        </w:rPr>
      </w:pPr>
      <w:r w:rsidRPr="00982D01">
        <w:rPr>
          <w:rFonts w:ascii="Times New Roman" w:hAnsi="Times New Roman" w:cs="Times New Roman"/>
          <w:b/>
          <w:sz w:val="28"/>
          <w:szCs w:val="28"/>
        </w:rPr>
        <w:lastRenderedPageBreak/>
        <w:t>ДОДОНСКАЯ МИФОЛОГИЯ</w:t>
      </w:r>
    </w:p>
    <w:p w14:paraId="47018EA0" w14:textId="77777777" w:rsidR="0092421C" w:rsidRPr="00982D01" w:rsidRDefault="0092421C" w:rsidP="0092421C">
      <w:pPr>
        <w:spacing w:after="0" w:line="360" w:lineRule="auto"/>
        <w:ind w:firstLine="709"/>
        <w:jc w:val="both"/>
        <w:rPr>
          <w:rFonts w:ascii="Times New Roman" w:hAnsi="Times New Roman" w:cs="Times New Roman"/>
          <w:iCs/>
          <w:sz w:val="28"/>
          <w:szCs w:val="28"/>
        </w:rPr>
      </w:pPr>
      <w:proofErr w:type="spellStart"/>
      <w:r w:rsidRPr="00982D01">
        <w:rPr>
          <w:rFonts w:ascii="Times New Roman" w:hAnsi="Times New Roman" w:cs="Times New Roman"/>
          <w:iCs/>
          <w:sz w:val="28"/>
          <w:szCs w:val="28"/>
        </w:rPr>
        <w:t>Додонское</w:t>
      </w:r>
      <w:proofErr w:type="spellEnd"/>
      <w:r w:rsidRPr="00982D01">
        <w:rPr>
          <w:rFonts w:ascii="Times New Roman" w:hAnsi="Times New Roman" w:cs="Times New Roman"/>
          <w:iCs/>
          <w:sz w:val="28"/>
          <w:szCs w:val="28"/>
        </w:rPr>
        <w:t xml:space="preserve"> святилище с оракулом бога Зевса, находившееся на северной окраине эллинского мира, по праву считалось древнейшим в Древней Греции. Основной объем сведений, посвященных </w:t>
      </w:r>
      <w:proofErr w:type="spellStart"/>
      <w:r w:rsidRPr="00982D01">
        <w:rPr>
          <w:rFonts w:ascii="Times New Roman" w:hAnsi="Times New Roman" w:cs="Times New Roman"/>
          <w:iCs/>
          <w:sz w:val="28"/>
          <w:szCs w:val="28"/>
        </w:rPr>
        <w:t>Додонскому</w:t>
      </w:r>
      <w:proofErr w:type="spellEnd"/>
      <w:r w:rsidRPr="00982D01">
        <w:rPr>
          <w:rFonts w:ascii="Times New Roman" w:hAnsi="Times New Roman" w:cs="Times New Roman"/>
          <w:iCs/>
          <w:sz w:val="28"/>
          <w:szCs w:val="28"/>
        </w:rPr>
        <w:t xml:space="preserve"> оракулу, связан с мифологической традицией. Первые сведения о святилище в </w:t>
      </w:r>
      <w:proofErr w:type="spellStart"/>
      <w:r w:rsidRPr="00982D01">
        <w:rPr>
          <w:rFonts w:ascii="Times New Roman" w:hAnsi="Times New Roman" w:cs="Times New Roman"/>
          <w:iCs/>
          <w:sz w:val="28"/>
          <w:szCs w:val="28"/>
        </w:rPr>
        <w:t>Додоне</w:t>
      </w:r>
      <w:proofErr w:type="spellEnd"/>
      <w:r w:rsidRPr="00982D01">
        <w:rPr>
          <w:rFonts w:ascii="Times New Roman" w:hAnsi="Times New Roman" w:cs="Times New Roman"/>
          <w:iCs/>
          <w:sz w:val="28"/>
          <w:szCs w:val="28"/>
        </w:rPr>
        <w:t xml:space="preserve"> мы находим в произведениях Гомера. Наиболее обширные пассажи, посвященные основанию </w:t>
      </w:r>
      <w:proofErr w:type="spellStart"/>
      <w:r w:rsidRPr="00982D01">
        <w:rPr>
          <w:rFonts w:ascii="Times New Roman" w:hAnsi="Times New Roman" w:cs="Times New Roman"/>
          <w:iCs/>
          <w:sz w:val="28"/>
          <w:szCs w:val="28"/>
        </w:rPr>
        <w:t>Додонского</w:t>
      </w:r>
      <w:proofErr w:type="spellEnd"/>
      <w:r w:rsidRPr="00982D01">
        <w:rPr>
          <w:rFonts w:ascii="Times New Roman" w:hAnsi="Times New Roman" w:cs="Times New Roman"/>
          <w:iCs/>
          <w:sz w:val="28"/>
          <w:szCs w:val="28"/>
        </w:rPr>
        <w:t xml:space="preserve"> оракула, содержатся у Геродота, который, однако, пытается дать им рациональное толкование. </w:t>
      </w:r>
      <w:proofErr w:type="spellStart"/>
      <w:r w:rsidRPr="00982D01">
        <w:rPr>
          <w:rFonts w:ascii="Times New Roman" w:hAnsi="Times New Roman" w:cs="Times New Roman"/>
          <w:iCs/>
          <w:sz w:val="28"/>
          <w:szCs w:val="28"/>
        </w:rPr>
        <w:t>Додона</w:t>
      </w:r>
      <w:proofErr w:type="spellEnd"/>
      <w:r w:rsidRPr="00982D01">
        <w:rPr>
          <w:rFonts w:ascii="Times New Roman" w:hAnsi="Times New Roman" w:cs="Times New Roman"/>
          <w:iCs/>
          <w:sz w:val="28"/>
          <w:szCs w:val="28"/>
        </w:rPr>
        <w:t xml:space="preserve"> появляется также в мифологических сюжетах произведениях таких греческих трагиков, как </w:t>
      </w:r>
      <w:proofErr w:type="spellStart"/>
      <w:r w:rsidRPr="00982D01">
        <w:rPr>
          <w:rFonts w:ascii="Times New Roman" w:hAnsi="Times New Roman" w:cs="Times New Roman"/>
          <w:iCs/>
          <w:sz w:val="28"/>
          <w:szCs w:val="28"/>
        </w:rPr>
        <w:t>Эврипид</w:t>
      </w:r>
      <w:proofErr w:type="spellEnd"/>
      <w:r w:rsidRPr="00982D01">
        <w:rPr>
          <w:rFonts w:ascii="Times New Roman" w:hAnsi="Times New Roman" w:cs="Times New Roman"/>
          <w:iCs/>
          <w:sz w:val="28"/>
          <w:szCs w:val="28"/>
        </w:rPr>
        <w:t xml:space="preserve"> и Софокл. Мифы о </w:t>
      </w:r>
      <w:proofErr w:type="spellStart"/>
      <w:r w:rsidRPr="00982D01">
        <w:rPr>
          <w:rFonts w:ascii="Times New Roman" w:hAnsi="Times New Roman" w:cs="Times New Roman"/>
          <w:iCs/>
          <w:sz w:val="28"/>
          <w:szCs w:val="28"/>
        </w:rPr>
        <w:t>Додоне</w:t>
      </w:r>
      <w:proofErr w:type="spellEnd"/>
      <w:r w:rsidRPr="00982D01">
        <w:rPr>
          <w:rFonts w:ascii="Times New Roman" w:hAnsi="Times New Roman" w:cs="Times New Roman"/>
          <w:iCs/>
          <w:sz w:val="28"/>
          <w:szCs w:val="28"/>
        </w:rPr>
        <w:t xml:space="preserve"> нашли свое отражения не только у греческих, но и у римских авторов, в частности, у Вергилия. В целом мы наблюдаем такое явление, когда количество мифологических сюжетов и содержащийся в них объем материала намного превосходит тот, который по своей сути, является историческим и в своей достоверности не вызывает никаких сомнений. Генеалогия </w:t>
      </w:r>
      <w:proofErr w:type="spellStart"/>
      <w:r w:rsidRPr="00982D01">
        <w:rPr>
          <w:rFonts w:ascii="Times New Roman" w:hAnsi="Times New Roman" w:cs="Times New Roman"/>
          <w:iCs/>
          <w:sz w:val="28"/>
          <w:szCs w:val="28"/>
        </w:rPr>
        <w:t>молосских</w:t>
      </w:r>
      <w:proofErr w:type="spellEnd"/>
      <w:r w:rsidRPr="00982D01">
        <w:rPr>
          <w:rFonts w:ascii="Times New Roman" w:hAnsi="Times New Roman" w:cs="Times New Roman"/>
          <w:iCs/>
          <w:sz w:val="28"/>
          <w:szCs w:val="28"/>
        </w:rPr>
        <w:t xml:space="preserve"> царей восходит к легендарным греческим героям – Ахиллу и </w:t>
      </w:r>
      <w:proofErr w:type="spellStart"/>
      <w:r w:rsidRPr="00982D01">
        <w:rPr>
          <w:rFonts w:ascii="Times New Roman" w:hAnsi="Times New Roman" w:cs="Times New Roman"/>
          <w:iCs/>
          <w:sz w:val="28"/>
          <w:szCs w:val="28"/>
        </w:rPr>
        <w:t>Неоптолему</w:t>
      </w:r>
      <w:proofErr w:type="spellEnd"/>
      <w:r w:rsidRPr="00982D01">
        <w:rPr>
          <w:rFonts w:ascii="Times New Roman" w:hAnsi="Times New Roman" w:cs="Times New Roman"/>
          <w:iCs/>
          <w:sz w:val="28"/>
          <w:szCs w:val="28"/>
        </w:rPr>
        <w:t xml:space="preserve">, а их религиозный центр, оракул </w:t>
      </w:r>
      <w:proofErr w:type="spellStart"/>
      <w:r w:rsidRPr="00982D01">
        <w:rPr>
          <w:rFonts w:ascii="Times New Roman" w:hAnsi="Times New Roman" w:cs="Times New Roman"/>
          <w:iCs/>
          <w:sz w:val="28"/>
          <w:szCs w:val="28"/>
        </w:rPr>
        <w:t>Додоны</w:t>
      </w:r>
      <w:proofErr w:type="spellEnd"/>
      <w:r w:rsidRPr="00982D01">
        <w:rPr>
          <w:rFonts w:ascii="Times New Roman" w:hAnsi="Times New Roman" w:cs="Times New Roman"/>
          <w:iCs/>
          <w:sz w:val="28"/>
          <w:szCs w:val="28"/>
        </w:rPr>
        <w:t xml:space="preserve">, являлся поистине общегреческим святилищем. Эллинское происхождение царского дома </w:t>
      </w:r>
      <w:proofErr w:type="spellStart"/>
      <w:r w:rsidRPr="00982D01">
        <w:rPr>
          <w:rFonts w:ascii="Times New Roman" w:hAnsi="Times New Roman" w:cs="Times New Roman"/>
          <w:iCs/>
          <w:sz w:val="28"/>
          <w:szCs w:val="28"/>
        </w:rPr>
        <w:t>Эакидов</w:t>
      </w:r>
      <w:proofErr w:type="spellEnd"/>
      <w:r w:rsidRPr="00982D01">
        <w:rPr>
          <w:rFonts w:ascii="Times New Roman" w:hAnsi="Times New Roman" w:cs="Times New Roman"/>
          <w:iCs/>
          <w:sz w:val="28"/>
          <w:szCs w:val="28"/>
        </w:rPr>
        <w:t xml:space="preserve"> опиралось на героическую генеалогию, служа доказательством общности крови и родства с греческим миром, и, следовательно, «доказательством» их греческого происхождения. Но эта героическая генеалогия не была создана </w:t>
      </w:r>
      <w:proofErr w:type="spellStart"/>
      <w:r w:rsidRPr="00982D01">
        <w:rPr>
          <w:rFonts w:ascii="Times New Roman" w:hAnsi="Times New Roman" w:cs="Times New Roman"/>
          <w:iCs/>
          <w:sz w:val="28"/>
          <w:szCs w:val="28"/>
        </w:rPr>
        <w:t>молосским</w:t>
      </w:r>
      <w:proofErr w:type="spellEnd"/>
      <w:r w:rsidRPr="00982D01">
        <w:rPr>
          <w:rFonts w:ascii="Times New Roman" w:hAnsi="Times New Roman" w:cs="Times New Roman"/>
          <w:iCs/>
          <w:sz w:val="28"/>
          <w:szCs w:val="28"/>
        </w:rPr>
        <w:t xml:space="preserve"> царствующим домом, который всего лишь приспособил её под себя в </w:t>
      </w:r>
      <w:r w:rsidRPr="00982D01">
        <w:rPr>
          <w:rFonts w:ascii="Times New Roman" w:hAnsi="Times New Roman" w:cs="Times New Roman"/>
          <w:iCs/>
          <w:sz w:val="28"/>
          <w:szCs w:val="28"/>
          <w:lang w:val="en-US"/>
        </w:rPr>
        <w:t>V</w:t>
      </w:r>
      <w:r w:rsidRPr="00982D01">
        <w:rPr>
          <w:rFonts w:ascii="Times New Roman" w:hAnsi="Times New Roman" w:cs="Times New Roman"/>
          <w:iCs/>
          <w:sz w:val="28"/>
          <w:szCs w:val="28"/>
        </w:rPr>
        <w:t xml:space="preserve"> в. до н.э., хотя она существовала задолго до этого, начиная с Гомеровского периода.</w:t>
      </w:r>
    </w:p>
    <w:p w14:paraId="21C97967" w14:textId="77777777" w:rsidR="0092421C" w:rsidRDefault="0092421C" w:rsidP="0092421C">
      <w:pPr>
        <w:spacing w:after="0" w:line="360" w:lineRule="auto"/>
        <w:ind w:firstLine="709"/>
        <w:jc w:val="both"/>
        <w:rPr>
          <w:rFonts w:ascii="Times New Roman" w:hAnsi="Times New Roman" w:cs="Times New Roman"/>
          <w:iCs/>
          <w:sz w:val="28"/>
          <w:szCs w:val="28"/>
        </w:rPr>
      </w:pPr>
      <w:r w:rsidRPr="00982D01">
        <w:rPr>
          <w:rFonts w:ascii="Times New Roman" w:hAnsi="Times New Roman" w:cs="Times New Roman"/>
          <w:b/>
          <w:bCs/>
          <w:iCs/>
          <w:sz w:val="28"/>
          <w:szCs w:val="28"/>
        </w:rPr>
        <w:t>Ключевые слова:</w:t>
      </w:r>
      <w:r w:rsidRPr="00982D01">
        <w:rPr>
          <w:rFonts w:ascii="Times New Roman" w:hAnsi="Times New Roman" w:cs="Times New Roman"/>
          <w:iCs/>
          <w:sz w:val="28"/>
          <w:szCs w:val="28"/>
        </w:rPr>
        <w:t xml:space="preserve"> </w:t>
      </w:r>
      <w:proofErr w:type="spellStart"/>
      <w:r w:rsidRPr="00982D01">
        <w:rPr>
          <w:rFonts w:ascii="Times New Roman" w:hAnsi="Times New Roman" w:cs="Times New Roman"/>
          <w:iCs/>
          <w:sz w:val="28"/>
          <w:szCs w:val="28"/>
        </w:rPr>
        <w:t>Додона</w:t>
      </w:r>
      <w:proofErr w:type="spellEnd"/>
      <w:r w:rsidRPr="00982D01">
        <w:rPr>
          <w:rFonts w:ascii="Times New Roman" w:hAnsi="Times New Roman" w:cs="Times New Roman"/>
          <w:iCs/>
          <w:sz w:val="28"/>
          <w:szCs w:val="28"/>
        </w:rPr>
        <w:t xml:space="preserve">, мифология, Зевс, святилище, </w:t>
      </w:r>
      <w:proofErr w:type="spellStart"/>
      <w:r w:rsidRPr="00982D01">
        <w:rPr>
          <w:rFonts w:ascii="Times New Roman" w:hAnsi="Times New Roman" w:cs="Times New Roman"/>
          <w:iCs/>
          <w:sz w:val="28"/>
          <w:szCs w:val="28"/>
        </w:rPr>
        <w:t>Эпир</w:t>
      </w:r>
      <w:proofErr w:type="spellEnd"/>
      <w:r w:rsidRPr="00982D01">
        <w:rPr>
          <w:rFonts w:ascii="Times New Roman" w:hAnsi="Times New Roman" w:cs="Times New Roman"/>
          <w:iCs/>
          <w:sz w:val="28"/>
          <w:szCs w:val="28"/>
        </w:rPr>
        <w:t>. прорицание</w:t>
      </w:r>
      <w:r>
        <w:rPr>
          <w:rFonts w:ascii="Times New Roman" w:hAnsi="Times New Roman" w:cs="Times New Roman"/>
          <w:iCs/>
          <w:sz w:val="28"/>
          <w:szCs w:val="28"/>
        </w:rPr>
        <w:t>.</w:t>
      </w:r>
    </w:p>
    <w:p w14:paraId="49431FC3" w14:textId="77777777" w:rsidR="0092421C" w:rsidRDefault="0092421C" w:rsidP="0092421C">
      <w:pPr>
        <w:spacing w:after="0" w:line="360" w:lineRule="auto"/>
        <w:ind w:firstLine="709"/>
        <w:jc w:val="both"/>
        <w:rPr>
          <w:rFonts w:ascii="Times New Roman" w:hAnsi="Times New Roman" w:cs="Times New Roman"/>
          <w:b/>
          <w:sz w:val="28"/>
          <w:szCs w:val="28"/>
        </w:rPr>
      </w:pPr>
    </w:p>
    <w:p w14:paraId="2F265049" w14:textId="77777777" w:rsidR="0092421C" w:rsidRPr="00982D01" w:rsidRDefault="0092421C" w:rsidP="0092421C">
      <w:pPr>
        <w:spacing w:after="0" w:line="360" w:lineRule="auto"/>
        <w:ind w:firstLine="709"/>
        <w:jc w:val="right"/>
        <w:rPr>
          <w:rFonts w:ascii="Times New Roman" w:hAnsi="Times New Roman" w:cs="Times New Roman"/>
          <w:b/>
          <w:bCs/>
          <w:iCs/>
          <w:sz w:val="28"/>
          <w:szCs w:val="28"/>
          <w:lang w:val="en-US"/>
        </w:rPr>
      </w:pPr>
      <w:r w:rsidRPr="00982D01">
        <w:rPr>
          <w:rFonts w:ascii="Times New Roman" w:hAnsi="Times New Roman" w:cs="Times New Roman"/>
          <w:b/>
          <w:bCs/>
          <w:iCs/>
          <w:sz w:val="28"/>
          <w:szCs w:val="28"/>
          <w:lang w:val="en-US"/>
        </w:rPr>
        <w:t xml:space="preserve">Sarkis S. </w:t>
      </w:r>
      <w:proofErr w:type="spellStart"/>
      <w:r w:rsidRPr="00982D01">
        <w:rPr>
          <w:rFonts w:ascii="Times New Roman" w:hAnsi="Times New Roman" w:cs="Times New Roman"/>
          <w:b/>
          <w:bCs/>
          <w:iCs/>
          <w:sz w:val="28"/>
          <w:szCs w:val="28"/>
          <w:lang w:val="en-US"/>
        </w:rPr>
        <w:t>Kazarov</w:t>
      </w:r>
      <w:proofErr w:type="spellEnd"/>
    </w:p>
    <w:p w14:paraId="6BE2CF31" w14:textId="77777777" w:rsidR="0092421C" w:rsidRPr="00982D01" w:rsidRDefault="0092421C" w:rsidP="0092421C">
      <w:pPr>
        <w:jc w:val="center"/>
        <w:rPr>
          <w:rFonts w:ascii="Times New Roman" w:hAnsi="Times New Roman" w:cs="Times New Roman"/>
          <w:b/>
          <w:sz w:val="28"/>
          <w:szCs w:val="28"/>
          <w:lang w:val="en-US"/>
        </w:rPr>
      </w:pPr>
      <w:r w:rsidRPr="00982D01">
        <w:rPr>
          <w:rFonts w:ascii="Times New Roman" w:hAnsi="Times New Roman" w:cs="Times New Roman"/>
          <w:b/>
          <w:sz w:val="28"/>
          <w:szCs w:val="28"/>
          <w:lang w:val="en"/>
        </w:rPr>
        <w:t>MYTHOLOGY OF DODONA</w:t>
      </w:r>
    </w:p>
    <w:p w14:paraId="7733805C" w14:textId="77777777" w:rsidR="0092421C" w:rsidRPr="00982D01" w:rsidRDefault="0092421C" w:rsidP="0092421C">
      <w:pPr>
        <w:spacing w:after="0" w:line="360" w:lineRule="auto"/>
        <w:ind w:firstLine="709"/>
        <w:jc w:val="both"/>
        <w:rPr>
          <w:rFonts w:ascii="Times New Roman" w:hAnsi="Times New Roman" w:cs="Times New Roman"/>
          <w:sz w:val="28"/>
          <w:szCs w:val="28"/>
          <w:lang w:val="en"/>
        </w:rPr>
      </w:pPr>
      <w:r w:rsidRPr="00982D01">
        <w:rPr>
          <w:rFonts w:ascii="Times New Roman" w:hAnsi="Times New Roman" w:cs="Times New Roman"/>
          <w:sz w:val="28"/>
          <w:szCs w:val="28"/>
          <w:lang w:val="en"/>
        </w:rPr>
        <w:t xml:space="preserve">The sanctuary of Dodona with the oracle of the god Zeus, located on the northern outskirts of the Hellenic world, was rightfully considered the oldest in </w:t>
      </w:r>
      <w:r w:rsidRPr="00982D01">
        <w:rPr>
          <w:rFonts w:ascii="Times New Roman" w:hAnsi="Times New Roman" w:cs="Times New Roman"/>
          <w:sz w:val="28"/>
          <w:szCs w:val="28"/>
          <w:lang w:val="en"/>
        </w:rPr>
        <w:lastRenderedPageBreak/>
        <w:t>Ancient Greece. The bulk of the information on the Dodona oracle is associated with the mythological tradition. We find the first information about the sanctuary in Dodona in the works of Homer. The most extensive passages devoted to the foundation of the Dodona oracle are contained in Herodotus, who, however, tries to give them a rational interpretation. Dodona also appears in the mythological plots of the works of such Greek tragedians as Euripides and Sophocles. The myths about Dodona were reflected not only in Greek, but also in Roman authors, in particular, in Virgil. Here we observe such a phenomenon when the number of mythological plots and the volume of material contained in them far exceeds that which, in its essence, is historical and there is no doubt about its authenticity. The genealogy of the Molossian kings goes back to the legendary Greek heroes - Achilles and Neoptolemus, and their religious center, the oracle of Dodona, was a truly common Greek sanctuary. The Hellenic origin of the royal house of the Aeacids was based on heroic genealogy, serving as proof of common blood and kinship with the Greek world, and therefore served as "proof" of their Greek origin. But this heroic genealogy was not created by the Molossian royal house, which only adapted it for itself in the 5th century BC, and it existed long before that, starting from the Homeric period.</w:t>
      </w:r>
    </w:p>
    <w:p w14:paraId="0DD0497A" w14:textId="77777777" w:rsidR="0092421C" w:rsidRPr="00982D01" w:rsidRDefault="0092421C" w:rsidP="0092421C">
      <w:pPr>
        <w:spacing w:after="0" w:line="360" w:lineRule="auto"/>
        <w:ind w:firstLine="709"/>
        <w:jc w:val="both"/>
        <w:rPr>
          <w:rFonts w:ascii="Times New Roman" w:hAnsi="Times New Roman" w:cs="Times New Roman"/>
          <w:sz w:val="28"/>
          <w:szCs w:val="28"/>
          <w:lang w:val="en"/>
        </w:rPr>
      </w:pPr>
      <w:r w:rsidRPr="00982D01">
        <w:rPr>
          <w:rFonts w:ascii="Times New Roman" w:hAnsi="Times New Roman" w:cs="Times New Roman"/>
          <w:b/>
          <w:bCs/>
          <w:sz w:val="28"/>
          <w:szCs w:val="28"/>
          <w:lang w:val="en"/>
        </w:rPr>
        <w:t>Key words:</w:t>
      </w:r>
      <w:r w:rsidRPr="00982D01">
        <w:rPr>
          <w:rFonts w:ascii="Times New Roman" w:hAnsi="Times New Roman" w:cs="Times New Roman"/>
          <w:sz w:val="28"/>
          <w:szCs w:val="28"/>
          <w:lang w:val="en"/>
        </w:rPr>
        <w:t xml:space="preserve"> Dodona, mythology, Zeus, sanctuary, Epirus,</w:t>
      </w:r>
      <w:r w:rsidRPr="00982D01">
        <w:rPr>
          <w:sz w:val="28"/>
          <w:szCs w:val="28"/>
          <w:lang w:val="en-US"/>
        </w:rPr>
        <w:t xml:space="preserve"> </w:t>
      </w:r>
      <w:r w:rsidRPr="00982D01">
        <w:rPr>
          <w:rFonts w:ascii="Times New Roman" w:hAnsi="Times New Roman" w:cs="Times New Roman"/>
          <w:sz w:val="28"/>
          <w:szCs w:val="28"/>
          <w:lang w:val="en"/>
        </w:rPr>
        <w:t>divination.</w:t>
      </w:r>
    </w:p>
    <w:p w14:paraId="1176A5CA" w14:textId="77777777" w:rsidR="0092421C" w:rsidRPr="00982D01" w:rsidRDefault="0092421C" w:rsidP="0092421C">
      <w:pPr>
        <w:spacing w:line="360" w:lineRule="auto"/>
        <w:contextualSpacing/>
        <w:rPr>
          <w:rFonts w:ascii="Times New Roman" w:hAnsi="Times New Roman"/>
          <w:b/>
          <w:bCs/>
          <w:sz w:val="28"/>
          <w:szCs w:val="28"/>
        </w:rPr>
      </w:pPr>
      <w:r w:rsidRPr="00982D01">
        <w:rPr>
          <w:rFonts w:ascii="Times New Roman" w:hAnsi="Times New Roman"/>
          <w:b/>
          <w:bCs/>
          <w:sz w:val="28"/>
          <w:szCs w:val="28"/>
        </w:rPr>
        <w:t>УДК 172.4-057.87(470.62)</w:t>
      </w:r>
    </w:p>
    <w:p w14:paraId="0FC2E764" w14:textId="77777777" w:rsidR="0092421C" w:rsidRPr="00A24C43" w:rsidRDefault="0092421C" w:rsidP="0092421C">
      <w:pPr>
        <w:spacing w:line="360" w:lineRule="auto"/>
        <w:contextualSpacing/>
        <w:jc w:val="right"/>
        <w:rPr>
          <w:rFonts w:ascii="Times New Roman" w:hAnsi="Times New Roman"/>
          <w:b/>
          <w:bCs/>
          <w:sz w:val="28"/>
          <w:szCs w:val="28"/>
        </w:rPr>
      </w:pPr>
      <w:r w:rsidRPr="00A24C43">
        <w:rPr>
          <w:rFonts w:ascii="Times New Roman" w:hAnsi="Times New Roman"/>
          <w:b/>
          <w:bCs/>
          <w:sz w:val="28"/>
          <w:szCs w:val="28"/>
        </w:rPr>
        <w:t>http://doi.org/10.37493/2409-1030.2022.2.4</w:t>
      </w:r>
    </w:p>
    <w:p w14:paraId="433392DD" w14:textId="77777777" w:rsidR="0092421C" w:rsidRPr="00982D01" w:rsidRDefault="0092421C" w:rsidP="0092421C">
      <w:pPr>
        <w:jc w:val="right"/>
        <w:rPr>
          <w:rFonts w:ascii="Times New Roman" w:hAnsi="Times New Roman"/>
          <w:b/>
          <w:sz w:val="28"/>
          <w:szCs w:val="28"/>
        </w:rPr>
      </w:pPr>
      <w:r w:rsidRPr="00982D01">
        <w:rPr>
          <w:rFonts w:ascii="Times New Roman" w:hAnsi="Times New Roman"/>
          <w:b/>
          <w:sz w:val="28"/>
          <w:szCs w:val="28"/>
        </w:rPr>
        <w:t xml:space="preserve">А.Ю. </w:t>
      </w:r>
      <w:proofErr w:type="spellStart"/>
      <w:r w:rsidRPr="00982D01">
        <w:rPr>
          <w:rFonts w:ascii="Times New Roman" w:hAnsi="Times New Roman"/>
          <w:b/>
          <w:sz w:val="28"/>
          <w:szCs w:val="28"/>
        </w:rPr>
        <w:t>Капшук</w:t>
      </w:r>
      <w:proofErr w:type="spellEnd"/>
      <w:r w:rsidRPr="00982D01">
        <w:rPr>
          <w:rFonts w:ascii="Times New Roman" w:hAnsi="Times New Roman"/>
          <w:b/>
          <w:sz w:val="28"/>
          <w:szCs w:val="28"/>
        </w:rPr>
        <w:t xml:space="preserve"> </w:t>
      </w:r>
    </w:p>
    <w:p w14:paraId="2C95F038" w14:textId="77777777" w:rsidR="0092421C" w:rsidRPr="00982D01" w:rsidRDefault="0092421C" w:rsidP="0092421C">
      <w:pPr>
        <w:spacing w:line="360" w:lineRule="auto"/>
        <w:jc w:val="center"/>
        <w:rPr>
          <w:rFonts w:ascii="Times New Roman" w:hAnsi="Times New Roman"/>
          <w:b/>
          <w:sz w:val="28"/>
          <w:szCs w:val="28"/>
        </w:rPr>
      </w:pPr>
      <w:r w:rsidRPr="00982D01">
        <w:rPr>
          <w:rFonts w:ascii="Times New Roman" w:hAnsi="Times New Roman"/>
          <w:b/>
          <w:sz w:val="28"/>
          <w:szCs w:val="28"/>
        </w:rPr>
        <w:t xml:space="preserve">ОСОБЕННОСТИ ВОЗНИКНОВЕНИЯ И РАЗВИТИЯ СТУДЕНЧЕСКИХ ОТРЯДОВ В ЮЖНЫХ РЕГИОНАХ РСФСР (1960-ЫЕ – 1970-ЫЕ ГГ.) </w:t>
      </w:r>
    </w:p>
    <w:p w14:paraId="0F2D5636" w14:textId="77777777" w:rsidR="0092421C" w:rsidRPr="00982D01" w:rsidRDefault="0092421C" w:rsidP="0092421C">
      <w:pPr>
        <w:spacing w:line="360" w:lineRule="auto"/>
        <w:ind w:firstLine="708"/>
        <w:jc w:val="both"/>
        <w:rPr>
          <w:rFonts w:ascii="Times New Roman" w:hAnsi="Times New Roman"/>
          <w:sz w:val="28"/>
          <w:szCs w:val="28"/>
        </w:rPr>
      </w:pPr>
      <w:r w:rsidRPr="00982D01">
        <w:rPr>
          <w:rFonts w:ascii="Times New Roman" w:hAnsi="Times New Roman"/>
          <w:sz w:val="28"/>
          <w:szCs w:val="28"/>
        </w:rPr>
        <w:t>В данном исследовании автор анализирует</w:t>
      </w:r>
      <w:r w:rsidRPr="00982D01">
        <w:rPr>
          <w:rFonts w:ascii="Times New Roman" w:hAnsi="Times New Roman"/>
          <w:b/>
          <w:sz w:val="28"/>
          <w:szCs w:val="28"/>
        </w:rPr>
        <w:t xml:space="preserve"> </w:t>
      </w:r>
      <w:r w:rsidRPr="00982D01">
        <w:rPr>
          <w:rFonts w:ascii="Times New Roman" w:hAnsi="Times New Roman"/>
          <w:sz w:val="28"/>
          <w:szCs w:val="28"/>
        </w:rPr>
        <w:t xml:space="preserve">особенности возникновения и развития студенческих отрядов (СО) в южных </w:t>
      </w:r>
      <w:r w:rsidRPr="0034707C">
        <w:rPr>
          <w:rFonts w:ascii="Times New Roman" w:hAnsi="Times New Roman"/>
          <w:sz w:val="28"/>
          <w:szCs w:val="28"/>
        </w:rPr>
        <w:t>краях РСФСР</w:t>
      </w:r>
      <w:r w:rsidRPr="00982D01">
        <w:rPr>
          <w:rFonts w:ascii="Times New Roman" w:hAnsi="Times New Roman"/>
          <w:i/>
          <w:sz w:val="28"/>
          <w:szCs w:val="28"/>
        </w:rPr>
        <w:t xml:space="preserve"> </w:t>
      </w:r>
      <w:r w:rsidRPr="00982D01">
        <w:rPr>
          <w:rFonts w:ascii="Times New Roman" w:hAnsi="Times New Roman"/>
          <w:sz w:val="28"/>
          <w:szCs w:val="28"/>
        </w:rPr>
        <w:t xml:space="preserve">в сравнении с общими тенденциями развития Всесоюзного студенческого отряда (ВСО). Актуальность темы статьи связана с необходимостью эффективного проведения трудового воспитания студентов, в том числе в современной молодёжной организации «Российские студенческие отряды». Для этого </w:t>
      </w:r>
      <w:r w:rsidRPr="00982D01">
        <w:rPr>
          <w:rFonts w:ascii="Times New Roman" w:hAnsi="Times New Roman"/>
          <w:sz w:val="28"/>
          <w:szCs w:val="28"/>
        </w:rPr>
        <w:lastRenderedPageBreak/>
        <w:t xml:space="preserve">необходимо учитывать не только экономические и социальные особенности разных регионов страны, но и практику прошлых лет. Опыт периода 1960-ых </w:t>
      </w:r>
      <w:r w:rsidRPr="00982D01">
        <w:rPr>
          <w:rFonts w:ascii="Times New Roman" w:hAnsi="Times New Roman"/>
          <w:color w:val="0070C0"/>
          <w:sz w:val="28"/>
          <w:szCs w:val="28"/>
        </w:rPr>
        <w:t>-</w:t>
      </w:r>
      <w:r w:rsidRPr="00982D01">
        <w:rPr>
          <w:rFonts w:ascii="Times New Roman" w:hAnsi="Times New Roman"/>
          <w:sz w:val="28"/>
          <w:szCs w:val="28"/>
        </w:rPr>
        <w:t xml:space="preserve">1970-ых гг. может помочь понять, как наиболее грамотно организовать работу студентов высших учебных заведений нашей страны. В статье автор показывает, </w:t>
      </w:r>
      <w:proofErr w:type="gramStart"/>
      <w:r w:rsidRPr="00982D01">
        <w:rPr>
          <w:rFonts w:ascii="Times New Roman" w:hAnsi="Times New Roman"/>
          <w:sz w:val="28"/>
          <w:szCs w:val="28"/>
        </w:rPr>
        <w:t>что, несмотря на то, что</w:t>
      </w:r>
      <w:proofErr w:type="gramEnd"/>
      <w:r w:rsidRPr="00982D01">
        <w:rPr>
          <w:rFonts w:ascii="Times New Roman" w:hAnsi="Times New Roman"/>
          <w:sz w:val="28"/>
          <w:szCs w:val="28"/>
        </w:rPr>
        <w:t xml:space="preserve"> студенческие отряды южных краёв и областей РСФСР развивались по образу и подобию Всесоюзного студенческого отряда, они имели ряд своих особенностей. </w:t>
      </w:r>
    </w:p>
    <w:p w14:paraId="5950FC21" w14:textId="77777777" w:rsidR="0092421C" w:rsidRPr="00982D01" w:rsidRDefault="0092421C" w:rsidP="0092421C">
      <w:pPr>
        <w:spacing w:line="360" w:lineRule="auto"/>
        <w:ind w:firstLine="708"/>
        <w:jc w:val="both"/>
        <w:rPr>
          <w:rFonts w:ascii="Times New Roman" w:hAnsi="Times New Roman"/>
          <w:sz w:val="28"/>
          <w:szCs w:val="28"/>
        </w:rPr>
      </w:pPr>
      <w:r w:rsidRPr="00982D01">
        <w:rPr>
          <w:rFonts w:ascii="Times New Roman" w:hAnsi="Times New Roman"/>
          <w:sz w:val="28"/>
          <w:szCs w:val="28"/>
        </w:rPr>
        <w:t xml:space="preserve">Самой главной отличительной чертой СО рассматриваемых регионов было преобладание студенческих отрядов </w:t>
      </w:r>
      <w:proofErr w:type="spellStart"/>
      <w:r w:rsidRPr="00982D01">
        <w:rPr>
          <w:rFonts w:ascii="Times New Roman" w:hAnsi="Times New Roman"/>
          <w:sz w:val="28"/>
          <w:szCs w:val="28"/>
        </w:rPr>
        <w:t>нестроительного</w:t>
      </w:r>
      <w:proofErr w:type="spellEnd"/>
      <w:r w:rsidRPr="00982D01">
        <w:rPr>
          <w:rFonts w:ascii="Times New Roman" w:hAnsi="Times New Roman"/>
          <w:sz w:val="28"/>
          <w:szCs w:val="28"/>
        </w:rPr>
        <w:t xml:space="preserve"> направления. Новизна исследования заключается в том, что оно является первой попыткой провести сравнительный анализ развития студенческих отрядов южных территорий РСФСР. Автор выявляет общие черты и отличительные особенности тенденций развития студенческого движения исследуемых регионов в сопоставлении с общими практиками Всесоюзного студенческого отряда. В работе используются данные о деятельности ССО четырёх южных территорий страны: Ставропольского и Краснодарского краев, Ростовской и Астраханской областей. И хотя данные регионы являются в наибольшей степени изученными в историографии проблемы, в рамках исследования в научный оборот введено 5 архивных дел, которые хранятся в Центре документации новейшей истории Краснодарского края (ЦДНИКК) и в Государственном архиве новейшей истории Ставропольского края (ГАНИСК). Хронологические рамки исследования охватывают период с </w:t>
      </w:r>
      <w:smartTag w:uri="urn:schemas-microsoft-com:office:smarttags" w:element="metricconverter">
        <w:smartTagPr>
          <w:attr w:name="ProductID" w:val="1965 г"/>
        </w:smartTagPr>
        <w:r w:rsidRPr="00982D01">
          <w:rPr>
            <w:rFonts w:ascii="Times New Roman" w:hAnsi="Times New Roman"/>
            <w:sz w:val="28"/>
            <w:szCs w:val="28"/>
          </w:rPr>
          <w:t>1965 г</w:t>
        </w:r>
      </w:smartTag>
      <w:r w:rsidRPr="00982D01">
        <w:rPr>
          <w:rFonts w:ascii="Times New Roman" w:hAnsi="Times New Roman"/>
          <w:sz w:val="28"/>
          <w:szCs w:val="28"/>
        </w:rPr>
        <w:t>. по конец 1970-ых гг. Верхняя граница обусловлена формированием первых выездных студенческих отрядов на территории рассматриваемых краёв и областей. Нижняя граница обусловлена окончанием первого десятилетия их работы на территории регионов формирования. Этот срок даёт возможность полноценно провести анализ тенденций развития студенческих отрядов.</w:t>
      </w:r>
    </w:p>
    <w:p w14:paraId="12E565C4" w14:textId="77777777" w:rsidR="0092421C" w:rsidRDefault="0092421C" w:rsidP="0092421C">
      <w:pPr>
        <w:spacing w:line="360" w:lineRule="auto"/>
        <w:jc w:val="both"/>
        <w:rPr>
          <w:rFonts w:ascii="Times New Roman" w:hAnsi="Times New Roman"/>
          <w:sz w:val="28"/>
          <w:szCs w:val="28"/>
        </w:rPr>
      </w:pPr>
      <w:r w:rsidRPr="00982D01">
        <w:rPr>
          <w:rFonts w:ascii="Times New Roman" w:hAnsi="Times New Roman"/>
          <w:sz w:val="28"/>
          <w:szCs w:val="28"/>
        </w:rPr>
        <w:lastRenderedPageBreak/>
        <w:tab/>
      </w:r>
      <w:r w:rsidRPr="00982D01">
        <w:rPr>
          <w:rFonts w:ascii="Times New Roman" w:hAnsi="Times New Roman"/>
          <w:b/>
          <w:sz w:val="28"/>
          <w:szCs w:val="28"/>
        </w:rPr>
        <w:t>Ключевые слова:</w:t>
      </w:r>
      <w:r w:rsidRPr="00982D01">
        <w:rPr>
          <w:rFonts w:ascii="Times New Roman" w:hAnsi="Times New Roman"/>
          <w:sz w:val="28"/>
          <w:szCs w:val="28"/>
        </w:rPr>
        <w:t xml:space="preserve"> студенческие строительные отряды, молодёжь, студенчество, Советский Союз, РСФСР, Краснодарский край, Ставропольский край.</w:t>
      </w:r>
    </w:p>
    <w:p w14:paraId="057DD9A3" w14:textId="77777777" w:rsidR="0092421C" w:rsidRPr="00982D01" w:rsidRDefault="0092421C" w:rsidP="0092421C">
      <w:pPr>
        <w:spacing w:line="360" w:lineRule="auto"/>
        <w:jc w:val="right"/>
        <w:rPr>
          <w:rFonts w:ascii="Times New Roman" w:hAnsi="Times New Roman"/>
          <w:b/>
          <w:sz w:val="28"/>
          <w:szCs w:val="28"/>
          <w:lang w:val="en-US"/>
        </w:rPr>
      </w:pPr>
      <w:r w:rsidRPr="00982D01">
        <w:rPr>
          <w:rFonts w:ascii="Times New Roman" w:hAnsi="Times New Roman"/>
          <w:b/>
          <w:sz w:val="28"/>
          <w:szCs w:val="28"/>
          <w:lang w:val="en-US"/>
        </w:rPr>
        <w:t xml:space="preserve">Anton Yu. </w:t>
      </w:r>
      <w:proofErr w:type="spellStart"/>
      <w:r w:rsidRPr="00982D01">
        <w:rPr>
          <w:rFonts w:ascii="Times New Roman" w:hAnsi="Times New Roman"/>
          <w:b/>
          <w:sz w:val="28"/>
          <w:szCs w:val="28"/>
          <w:lang w:val="en-US"/>
        </w:rPr>
        <w:t>Kapshuk</w:t>
      </w:r>
      <w:proofErr w:type="spellEnd"/>
    </w:p>
    <w:p w14:paraId="4812F5FD" w14:textId="77777777" w:rsidR="0092421C" w:rsidRPr="00982D01" w:rsidRDefault="0092421C" w:rsidP="0092421C">
      <w:pPr>
        <w:spacing w:line="360" w:lineRule="auto"/>
        <w:jc w:val="center"/>
        <w:rPr>
          <w:rFonts w:ascii="Times New Roman" w:hAnsi="Times New Roman"/>
          <w:b/>
          <w:sz w:val="40"/>
          <w:szCs w:val="28"/>
          <w:lang w:val="en-US"/>
        </w:rPr>
      </w:pPr>
      <w:r w:rsidRPr="00982D01">
        <w:rPr>
          <w:rFonts w:ascii="Times New Roman" w:hAnsi="Times New Roman"/>
          <w:b/>
          <w:color w:val="000000"/>
          <w:sz w:val="28"/>
          <w:szCs w:val="20"/>
          <w:lang w:val="en-US"/>
        </w:rPr>
        <w:t xml:space="preserve">FEATURES OF THE EMERGENCE AND DEVELOPMENT OF STUDENT </w:t>
      </w:r>
      <w:r w:rsidRPr="00982D01">
        <w:rPr>
          <w:rFonts w:ascii="Times New Roman" w:hAnsi="Times New Roman"/>
          <w:b/>
          <w:sz w:val="28"/>
          <w:szCs w:val="28"/>
          <w:lang w:val="en-US"/>
        </w:rPr>
        <w:t>BRIGADES</w:t>
      </w:r>
      <w:r w:rsidRPr="00982D01">
        <w:rPr>
          <w:rFonts w:ascii="Times New Roman" w:hAnsi="Times New Roman"/>
          <w:b/>
          <w:color w:val="000000"/>
          <w:sz w:val="28"/>
          <w:szCs w:val="20"/>
          <w:lang w:val="en-US"/>
        </w:rPr>
        <w:t xml:space="preserve"> IN THE SOUTH OF THE RSFSR (1960-S – 1970-S) </w:t>
      </w:r>
    </w:p>
    <w:p w14:paraId="1A73D875" w14:textId="77777777" w:rsidR="0092421C" w:rsidRPr="00982D01" w:rsidRDefault="0092421C" w:rsidP="0092421C">
      <w:pPr>
        <w:spacing w:line="360" w:lineRule="auto"/>
        <w:ind w:firstLine="567"/>
        <w:contextualSpacing/>
        <w:jc w:val="both"/>
        <w:rPr>
          <w:rFonts w:ascii="Times New Roman" w:hAnsi="Times New Roman"/>
          <w:sz w:val="28"/>
          <w:szCs w:val="28"/>
          <w:lang w:val="en-US"/>
        </w:rPr>
      </w:pPr>
      <w:r w:rsidRPr="00982D01">
        <w:rPr>
          <w:rFonts w:ascii="Times New Roman" w:hAnsi="Times New Roman"/>
          <w:sz w:val="28"/>
          <w:szCs w:val="28"/>
          <w:lang w:val="en-US"/>
        </w:rPr>
        <w:t xml:space="preserve">In this study, the author analyzes the features of the emergence and development of student brigades (SB) in the southern regions and the RSFSR in comparison with the general trends in the development of the All-Union Student brigades. The relevance of the topic of the article is connected with the need for effective labor education of students, including in the modern youth organization "Russian Student brigades". To do this, it is necessary to take into account not only the economic and social characteristics of different regions of the country, but also the practice of previous years. The experience of the period of the 1960s -1970s can help to understand how to organize the work of students of higher educational institutions of our country most competently. In the article, the author shows that, despite the fact that the student brigades of the southern territories and regions of the RSFSR developed in the image and likeness of the All-Union Student brigades, they had a number of their own characteristics. </w:t>
      </w:r>
    </w:p>
    <w:p w14:paraId="6943C968" w14:textId="77777777" w:rsidR="0092421C" w:rsidRPr="00982D01" w:rsidRDefault="0092421C" w:rsidP="0092421C">
      <w:pPr>
        <w:spacing w:line="360" w:lineRule="auto"/>
        <w:ind w:firstLine="567"/>
        <w:contextualSpacing/>
        <w:jc w:val="both"/>
        <w:rPr>
          <w:rFonts w:ascii="Times New Roman" w:hAnsi="Times New Roman"/>
          <w:sz w:val="28"/>
          <w:szCs w:val="28"/>
          <w:lang w:val="en-US"/>
        </w:rPr>
      </w:pPr>
      <w:r w:rsidRPr="00982D01">
        <w:rPr>
          <w:rFonts w:ascii="Times New Roman" w:hAnsi="Times New Roman"/>
          <w:sz w:val="28"/>
          <w:szCs w:val="28"/>
          <w:lang w:val="en-US"/>
        </w:rPr>
        <w:t>The most important distinguishing feature of the student brigades of the regions under consideration was the predominance of student brigades of the non-construction brigades. The novelty of the study lies in the fact that it is the first attempt to conduct a comparative analysis of the development of student brigades in the southern territories of the RSFSR. The author identifies common features and distinctive features of trends in the development of the student movement of the studied regions in comparison with the general practices of the All-Union Student brigades. The author identifies common features and distinctive features of trends in the development of the student movement of the studied regions in comparison with the general practices of the All-Union Student brigades.</w:t>
      </w:r>
      <w:r w:rsidRPr="00982D01">
        <w:rPr>
          <w:lang w:val="en-US"/>
        </w:rPr>
        <w:t xml:space="preserve"> </w:t>
      </w:r>
      <w:r w:rsidRPr="00982D01">
        <w:rPr>
          <w:rFonts w:ascii="Times New Roman" w:hAnsi="Times New Roman"/>
          <w:sz w:val="28"/>
          <w:szCs w:val="28"/>
          <w:lang w:val="en-US"/>
        </w:rPr>
        <w:t xml:space="preserve">And although these regions </w:t>
      </w:r>
      <w:r w:rsidRPr="00982D01">
        <w:rPr>
          <w:rFonts w:ascii="Times New Roman" w:hAnsi="Times New Roman"/>
          <w:sz w:val="28"/>
          <w:szCs w:val="28"/>
          <w:lang w:val="en-US"/>
        </w:rPr>
        <w:lastRenderedPageBreak/>
        <w:t>are the most studied in the historiography of the problem, within the framework of the study, 5 archival files were introduced into scientific circulation, which are stored in the Center for Documentation of the Modern History of the Krasnodar Territory and in the State Archive of the Modern History of the Stavropol Territory.</w:t>
      </w:r>
      <w:r w:rsidRPr="00982D01">
        <w:rPr>
          <w:lang w:val="en-US"/>
        </w:rPr>
        <w:t xml:space="preserve"> </w:t>
      </w:r>
      <w:r w:rsidRPr="00982D01">
        <w:rPr>
          <w:rFonts w:ascii="Times New Roman" w:hAnsi="Times New Roman"/>
          <w:sz w:val="28"/>
          <w:szCs w:val="28"/>
          <w:lang w:val="en-US"/>
        </w:rPr>
        <w:t>The chronological framework of the study covers the period from 1965 to the end of the 1970s. The upper boundary is due to the formation of the first visiting student brigades on the territory of the regions under consideration. The lower limit is due to the end of the first decade of their work on the territory of the formation regions.</w:t>
      </w:r>
      <w:r w:rsidRPr="00982D01">
        <w:rPr>
          <w:lang w:val="en-US"/>
        </w:rPr>
        <w:t xml:space="preserve"> </w:t>
      </w:r>
      <w:r w:rsidRPr="00982D01">
        <w:rPr>
          <w:rFonts w:ascii="Times New Roman" w:hAnsi="Times New Roman"/>
          <w:sz w:val="28"/>
          <w:szCs w:val="28"/>
          <w:lang w:val="en-US"/>
        </w:rPr>
        <w:t>This period makes it possible to fully analyze the trends in the development of student brigades.</w:t>
      </w:r>
    </w:p>
    <w:p w14:paraId="689290DE" w14:textId="77777777" w:rsidR="0092421C" w:rsidRPr="00982D01" w:rsidRDefault="0092421C" w:rsidP="0092421C">
      <w:pPr>
        <w:spacing w:after="0" w:line="360" w:lineRule="auto"/>
        <w:ind w:right="142" w:firstLine="567"/>
        <w:contextualSpacing/>
        <w:jc w:val="both"/>
        <w:rPr>
          <w:rFonts w:ascii="Times New Roman" w:hAnsi="Times New Roman"/>
          <w:b/>
          <w:sz w:val="28"/>
          <w:szCs w:val="28"/>
          <w:lang w:val="en-US"/>
        </w:rPr>
      </w:pPr>
      <w:r w:rsidRPr="00982D01">
        <w:rPr>
          <w:rFonts w:ascii="Times New Roman" w:hAnsi="Times New Roman"/>
          <w:b/>
          <w:sz w:val="28"/>
          <w:szCs w:val="28"/>
          <w:lang w:val="en-US"/>
        </w:rPr>
        <w:t>Key words:</w:t>
      </w:r>
      <w:r w:rsidRPr="00982D01">
        <w:rPr>
          <w:rFonts w:ascii="Times New Roman" w:hAnsi="Times New Roman"/>
          <w:sz w:val="28"/>
          <w:szCs w:val="28"/>
          <w:lang w:val="en-US"/>
        </w:rPr>
        <w:t xml:space="preserve"> student construction brigades, youth, students, Soviet Union, RSFSR, Krasnodar Region, Stavropol Region.</w:t>
      </w:r>
    </w:p>
    <w:p w14:paraId="0FB06936" w14:textId="77777777" w:rsidR="005007ED" w:rsidRDefault="005007ED" w:rsidP="005007ED">
      <w:pPr>
        <w:spacing w:after="0" w:line="240" w:lineRule="auto"/>
        <w:contextualSpacing/>
        <w:jc w:val="both"/>
        <w:rPr>
          <w:rFonts w:ascii="Times New Roman" w:hAnsi="Times New Roman"/>
          <w:b/>
          <w:bCs/>
          <w:color w:val="FF0000"/>
          <w:sz w:val="28"/>
          <w:szCs w:val="28"/>
        </w:rPr>
      </w:pPr>
    </w:p>
    <w:p w14:paraId="1B01054A" w14:textId="77777777" w:rsidR="00086D02" w:rsidRPr="00086D02" w:rsidRDefault="00086D02" w:rsidP="00086D02">
      <w:pPr>
        <w:widowControl w:val="0"/>
        <w:spacing w:after="0" w:line="360" w:lineRule="auto"/>
        <w:rPr>
          <w:rFonts w:ascii="Times New Roman" w:hAnsi="Times New Roman" w:cs="Times New Roman"/>
          <w:b/>
          <w:bCs/>
          <w:sz w:val="28"/>
          <w:szCs w:val="28"/>
          <w:lang w:val="en-US"/>
        </w:rPr>
      </w:pPr>
      <w:r w:rsidRPr="00086D02">
        <w:rPr>
          <w:rFonts w:ascii="Times New Roman" w:hAnsi="Times New Roman" w:cs="Times New Roman"/>
          <w:b/>
          <w:bCs/>
          <w:sz w:val="28"/>
          <w:szCs w:val="28"/>
          <w:lang w:val="en-US"/>
        </w:rPr>
        <w:t>УДК 94(47).084.8(470.63)</w:t>
      </w:r>
    </w:p>
    <w:p w14:paraId="1FF80805" w14:textId="6B82FBC1" w:rsidR="005007ED" w:rsidRPr="002B2907" w:rsidRDefault="005007ED" w:rsidP="005007ED">
      <w:pPr>
        <w:widowControl w:val="0"/>
        <w:spacing w:after="0" w:line="360" w:lineRule="auto"/>
        <w:jc w:val="right"/>
        <w:rPr>
          <w:rFonts w:ascii="Times New Roman" w:hAnsi="Times New Roman"/>
          <w:b/>
          <w:bCs/>
          <w:sz w:val="28"/>
          <w:szCs w:val="28"/>
          <w:lang w:val="en-US"/>
        </w:rPr>
      </w:pPr>
      <w:r w:rsidRPr="002B2907">
        <w:rPr>
          <w:rFonts w:ascii="Times New Roman" w:hAnsi="Times New Roman"/>
          <w:b/>
          <w:bCs/>
          <w:sz w:val="28"/>
          <w:szCs w:val="28"/>
          <w:lang w:val="en-US"/>
        </w:rPr>
        <w:t>http://doi.org/10.37493/2409-1030.2022.2.5</w:t>
      </w:r>
    </w:p>
    <w:p w14:paraId="09587D03" w14:textId="77777777" w:rsidR="005007ED" w:rsidRPr="002B2907" w:rsidRDefault="005007ED" w:rsidP="005007ED">
      <w:pPr>
        <w:widowControl w:val="0"/>
        <w:spacing w:after="0" w:line="360" w:lineRule="auto"/>
        <w:jc w:val="right"/>
        <w:rPr>
          <w:rFonts w:ascii="Times New Roman" w:hAnsi="Times New Roman"/>
          <w:b/>
          <w:bCs/>
          <w:sz w:val="28"/>
          <w:szCs w:val="28"/>
          <w:lang w:val="en-US"/>
        </w:rPr>
      </w:pPr>
      <w:r w:rsidRPr="00982D01">
        <w:rPr>
          <w:rFonts w:ascii="Times New Roman" w:hAnsi="Times New Roman"/>
          <w:b/>
          <w:bCs/>
          <w:sz w:val="28"/>
          <w:szCs w:val="28"/>
        </w:rPr>
        <w:t>А</w:t>
      </w:r>
      <w:r w:rsidRPr="002B2907">
        <w:rPr>
          <w:rFonts w:ascii="Times New Roman" w:hAnsi="Times New Roman"/>
          <w:b/>
          <w:bCs/>
          <w:sz w:val="28"/>
          <w:szCs w:val="28"/>
          <w:lang w:val="en-US"/>
        </w:rPr>
        <w:t>.</w:t>
      </w:r>
      <w:r w:rsidRPr="00982D01">
        <w:rPr>
          <w:rFonts w:ascii="Times New Roman" w:hAnsi="Times New Roman"/>
          <w:b/>
          <w:bCs/>
          <w:sz w:val="28"/>
          <w:szCs w:val="28"/>
        </w:rPr>
        <w:t>В</w:t>
      </w:r>
      <w:r w:rsidRPr="002B2907">
        <w:rPr>
          <w:rFonts w:ascii="Times New Roman" w:hAnsi="Times New Roman"/>
          <w:b/>
          <w:bCs/>
          <w:sz w:val="28"/>
          <w:szCs w:val="28"/>
          <w:lang w:val="en-US"/>
        </w:rPr>
        <w:t>.</w:t>
      </w:r>
      <w:r w:rsidRPr="00982D01">
        <w:rPr>
          <w:rFonts w:ascii="Times New Roman" w:hAnsi="Times New Roman"/>
          <w:b/>
          <w:bCs/>
          <w:sz w:val="28"/>
          <w:szCs w:val="28"/>
          <w:lang w:val="en-US"/>
        </w:rPr>
        <w:t> </w:t>
      </w:r>
      <w:r w:rsidRPr="00982D01">
        <w:rPr>
          <w:rFonts w:ascii="Times New Roman" w:hAnsi="Times New Roman"/>
          <w:b/>
          <w:bCs/>
          <w:sz w:val="28"/>
          <w:szCs w:val="28"/>
        </w:rPr>
        <w:t>Карташев</w:t>
      </w:r>
    </w:p>
    <w:p w14:paraId="22C0A3B9" w14:textId="77777777" w:rsidR="005007ED" w:rsidRPr="00982D01" w:rsidRDefault="005007ED" w:rsidP="005007ED">
      <w:pPr>
        <w:widowControl w:val="0"/>
        <w:spacing w:after="0" w:line="360" w:lineRule="auto"/>
        <w:jc w:val="center"/>
        <w:rPr>
          <w:rFonts w:ascii="Times New Roman" w:hAnsi="Times New Roman"/>
          <w:b/>
          <w:sz w:val="28"/>
          <w:szCs w:val="28"/>
        </w:rPr>
      </w:pPr>
      <w:r w:rsidRPr="00982D01">
        <w:rPr>
          <w:rFonts w:ascii="Times New Roman" w:hAnsi="Times New Roman"/>
          <w:b/>
          <w:sz w:val="28"/>
          <w:szCs w:val="28"/>
        </w:rPr>
        <w:t xml:space="preserve">1-й ОТДЕЛЬНЫЙ СТРЕЛКОВЫЙ КОРПУС </w:t>
      </w:r>
    </w:p>
    <w:p w14:paraId="5355BC8F" w14:textId="77777777" w:rsidR="005007ED" w:rsidRPr="00982D01" w:rsidRDefault="005007ED" w:rsidP="005007ED">
      <w:pPr>
        <w:widowControl w:val="0"/>
        <w:spacing w:after="0" w:line="360" w:lineRule="auto"/>
        <w:jc w:val="center"/>
        <w:rPr>
          <w:rFonts w:ascii="Times New Roman" w:hAnsi="Times New Roman"/>
          <w:b/>
          <w:sz w:val="28"/>
          <w:szCs w:val="28"/>
        </w:rPr>
      </w:pPr>
      <w:r w:rsidRPr="00982D01">
        <w:rPr>
          <w:rFonts w:ascii="Times New Roman" w:hAnsi="Times New Roman"/>
          <w:b/>
          <w:sz w:val="28"/>
          <w:szCs w:val="28"/>
        </w:rPr>
        <w:t>НА РУБЕЖЕ СМЫКОВ–ГРИГОРОПОЛИССКАЯ</w:t>
      </w:r>
    </w:p>
    <w:p w14:paraId="1B2F9750" w14:textId="77777777" w:rsidR="005007ED" w:rsidRPr="00982D01" w:rsidRDefault="005007ED" w:rsidP="005007ED">
      <w:pPr>
        <w:widowControl w:val="0"/>
        <w:spacing w:after="0" w:line="360" w:lineRule="auto"/>
        <w:ind w:firstLine="709"/>
        <w:jc w:val="both"/>
        <w:rPr>
          <w:rFonts w:ascii="Times New Roman" w:eastAsia="Times New Roman" w:hAnsi="Times New Roman"/>
          <w:sz w:val="28"/>
          <w:szCs w:val="28"/>
          <w:lang w:eastAsia="ru-RU"/>
        </w:rPr>
      </w:pPr>
      <w:r w:rsidRPr="00982D01">
        <w:rPr>
          <w:rFonts w:ascii="Times New Roman" w:eastAsia="Times New Roman" w:hAnsi="Times New Roman"/>
          <w:sz w:val="28"/>
          <w:szCs w:val="28"/>
          <w:lang w:eastAsia="ru-RU"/>
        </w:rPr>
        <w:t xml:space="preserve">Статья посвящена малоизвестному факту боевых действий советских войск на западе Ставропольского края в период с 3 по 5 августа 1942 г. В литературе о битве за Кавказ А.А. Гречко, С.В. Януша и других авторов этот эпизод подробно не рассмотрен. Исключение составляют работы, посвященные оценке личности командира 1-го отдельного стрелкового корпуса полковника М.М. Шапошникова, перешедшего после оставления г. Армавира на сторону противника. Оборону рубежа хутор Смыков, станица Григорополисская осуществляли соединения и части этого корпуса, а также другие воинские формирования советских войск, отходивших на этом направлении. На основе архивных источников и мемуаров воссоздается ход военных событий, показывается цель этих действий: обеспечить прикрытие войск 12-й армии, отходивших за Кубань. Дается краткое описание рубежа </w:t>
      </w:r>
      <w:r w:rsidRPr="00982D01">
        <w:rPr>
          <w:rFonts w:ascii="Times New Roman" w:eastAsia="Times New Roman" w:hAnsi="Times New Roman"/>
          <w:sz w:val="28"/>
          <w:szCs w:val="28"/>
          <w:lang w:eastAsia="ru-RU"/>
        </w:rPr>
        <w:lastRenderedPageBreak/>
        <w:t xml:space="preserve">Смыков, Григорополисская, показываются его преимущества. Объясняется изменение планов командования Северо-Кавказского фронта при отмене прежней задачи и назначении данного оборонительного рубежа. Это обстоятельство не позволило качественно подготовить оборону, обеспечить неприкосновенность переправ через реку Кубань в районе станицы </w:t>
      </w:r>
      <w:proofErr w:type="spellStart"/>
      <w:r w:rsidRPr="00982D01">
        <w:rPr>
          <w:rFonts w:ascii="Times New Roman" w:eastAsia="Times New Roman" w:hAnsi="Times New Roman"/>
          <w:sz w:val="28"/>
          <w:szCs w:val="28"/>
          <w:lang w:eastAsia="ru-RU"/>
        </w:rPr>
        <w:t>Прочноокопской</w:t>
      </w:r>
      <w:proofErr w:type="spellEnd"/>
      <w:r w:rsidRPr="00982D01">
        <w:rPr>
          <w:rFonts w:ascii="Times New Roman" w:eastAsia="Times New Roman" w:hAnsi="Times New Roman"/>
          <w:sz w:val="28"/>
          <w:szCs w:val="28"/>
          <w:lang w:eastAsia="ru-RU"/>
        </w:rPr>
        <w:t xml:space="preserve"> и города Армавира, и разбить врага на дальних подступах к Майкопу. Показываются действия противника: 13-й танковой дивизии вермахта и моторизованной дивизии СС «Викинг», прорвавших боевые порядки стрелковых бригад корпуса. Раскрываются сложность боев, который вели части корпуса с перевернутым в обратную сторону фронтом, их напряженный и кровопролитный характер, масштабы потерь советских войск. Приводятся сведения о вкладе других соединений и частей в оборону правого берега Кубани. Показывается стремление личного состава выполнить поставленную боевую задачу, описываются отдельные подвиги бойцов и командиров. Называются имена должностных лиц командно-начальствующего состава 1-го отдельного стрелкового корпуса, которые в отличие от командира корпуса, изменившего Родине, продолжали до конца выполнять свой воинский долг и с честью прошли дорогами войны.</w:t>
      </w:r>
    </w:p>
    <w:p w14:paraId="0BCC97FB" w14:textId="77777777" w:rsidR="005007ED" w:rsidRDefault="005007ED" w:rsidP="005007ED">
      <w:pPr>
        <w:widowControl w:val="0"/>
        <w:spacing w:after="0" w:line="360" w:lineRule="auto"/>
        <w:ind w:firstLine="709"/>
        <w:jc w:val="both"/>
        <w:rPr>
          <w:rFonts w:ascii="Times New Roman" w:eastAsia="Times New Roman" w:hAnsi="Times New Roman"/>
          <w:sz w:val="28"/>
          <w:szCs w:val="28"/>
          <w:lang w:eastAsia="ru-RU"/>
        </w:rPr>
      </w:pPr>
      <w:r w:rsidRPr="00982D01">
        <w:rPr>
          <w:rFonts w:ascii="Times New Roman" w:eastAsia="Times New Roman" w:hAnsi="Times New Roman"/>
          <w:b/>
          <w:sz w:val="28"/>
          <w:szCs w:val="28"/>
          <w:lang w:eastAsia="ru-RU"/>
        </w:rPr>
        <w:t>Ключевые слова:</w:t>
      </w:r>
      <w:r w:rsidRPr="00982D01">
        <w:rPr>
          <w:rFonts w:ascii="Times New Roman" w:eastAsia="Times New Roman" w:hAnsi="Times New Roman"/>
          <w:sz w:val="28"/>
          <w:szCs w:val="28"/>
          <w:lang w:eastAsia="ru-RU"/>
        </w:rPr>
        <w:t xml:space="preserve"> бои на Ставрополье, август 1942-го, 1-й отдельный стрелковый корпус, 113 и 139 стрелковые бригады, Григорополисская, Смыков.</w:t>
      </w:r>
    </w:p>
    <w:p w14:paraId="42EF2956" w14:textId="77777777" w:rsidR="005007ED" w:rsidRDefault="005007ED" w:rsidP="005007ED">
      <w:pPr>
        <w:widowControl w:val="0"/>
        <w:spacing w:after="0" w:line="360" w:lineRule="auto"/>
        <w:ind w:firstLine="709"/>
        <w:jc w:val="both"/>
        <w:rPr>
          <w:rFonts w:ascii="Times New Roman" w:eastAsia="Times New Roman" w:hAnsi="Times New Roman"/>
          <w:sz w:val="28"/>
          <w:szCs w:val="28"/>
          <w:lang w:eastAsia="ru-RU"/>
        </w:rPr>
      </w:pPr>
    </w:p>
    <w:p w14:paraId="6C11A813" w14:textId="77777777" w:rsidR="005007ED" w:rsidRPr="00982D01" w:rsidRDefault="005007ED" w:rsidP="005007ED">
      <w:pPr>
        <w:widowControl w:val="0"/>
        <w:spacing w:after="0" w:line="360" w:lineRule="auto"/>
        <w:ind w:firstLine="709"/>
        <w:jc w:val="right"/>
        <w:rPr>
          <w:rFonts w:ascii="Times New Roman" w:eastAsia="Times New Roman" w:hAnsi="Times New Roman"/>
          <w:sz w:val="28"/>
          <w:szCs w:val="28"/>
          <w:lang w:val="en-US" w:eastAsia="ru-RU"/>
        </w:rPr>
      </w:pPr>
      <w:r w:rsidRPr="00982D01">
        <w:rPr>
          <w:rFonts w:ascii="Times New Roman" w:hAnsi="Times New Roman"/>
          <w:b/>
          <w:sz w:val="28"/>
          <w:szCs w:val="28"/>
          <w:lang w:val="en-US"/>
        </w:rPr>
        <w:t xml:space="preserve">Andrey V. </w:t>
      </w:r>
      <w:proofErr w:type="spellStart"/>
      <w:r w:rsidRPr="00982D01">
        <w:rPr>
          <w:rFonts w:ascii="Times New Roman" w:hAnsi="Times New Roman"/>
          <w:b/>
          <w:sz w:val="28"/>
          <w:szCs w:val="28"/>
          <w:lang w:val="en-US"/>
        </w:rPr>
        <w:t>Kartashev</w:t>
      </w:r>
      <w:proofErr w:type="spellEnd"/>
    </w:p>
    <w:p w14:paraId="7C69C6F4" w14:textId="77777777" w:rsidR="005007ED" w:rsidRPr="00982D01" w:rsidRDefault="005007ED" w:rsidP="005007ED">
      <w:pPr>
        <w:widowControl w:val="0"/>
        <w:spacing w:after="0" w:line="360" w:lineRule="auto"/>
        <w:jc w:val="center"/>
        <w:rPr>
          <w:rFonts w:ascii="Times New Roman" w:eastAsia="Times New Roman" w:hAnsi="Times New Roman"/>
          <w:b/>
          <w:sz w:val="28"/>
          <w:szCs w:val="28"/>
          <w:lang w:val="en-US" w:eastAsia="ru-RU"/>
        </w:rPr>
      </w:pPr>
      <w:r w:rsidRPr="00982D01">
        <w:rPr>
          <w:rFonts w:ascii="Times New Roman" w:eastAsia="Times New Roman" w:hAnsi="Times New Roman"/>
          <w:b/>
          <w:sz w:val="28"/>
          <w:szCs w:val="28"/>
          <w:lang w:val="en-US" w:eastAsia="ru-RU"/>
        </w:rPr>
        <w:t>1st SEPARATE RIFLE CORPS</w:t>
      </w:r>
    </w:p>
    <w:p w14:paraId="010267C5" w14:textId="77777777" w:rsidR="005007ED" w:rsidRPr="00982D01" w:rsidRDefault="005007ED" w:rsidP="005007ED">
      <w:pPr>
        <w:widowControl w:val="0"/>
        <w:spacing w:after="0" w:line="360" w:lineRule="auto"/>
        <w:jc w:val="center"/>
        <w:rPr>
          <w:rFonts w:ascii="Times New Roman" w:eastAsia="Times New Roman" w:hAnsi="Times New Roman"/>
          <w:b/>
          <w:sz w:val="28"/>
          <w:szCs w:val="28"/>
          <w:lang w:val="en-US" w:eastAsia="ru-RU"/>
        </w:rPr>
      </w:pPr>
      <w:r w:rsidRPr="00982D01">
        <w:rPr>
          <w:rFonts w:ascii="Times New Roman" w:eastAsia="Times New Roman" w:hAnsi="Times New Roman"/>
          <w:b/>
          <w:sz w:val="28"/>
          <w:szCs w:val="28"/>
          <w:lang w:val="en-US" w:eastAsia="ru-RU"/>
        </w:rPr>
        <w:t>AT THE BORDER OF THE SMYKOV-GRIGOROPOLIS</w:t>
      </w:r>
    </w:p>
    <w:p w14:paraId="54539E0C" w14:textId="77777777" w:rsidR="005007ED" w:rsidRPr="00982D01" w:rsidRDefault="005007ED" w:rsidP="005007ED">
      <w:pPr>
        <w:autoSpaceDE w:val="0"/>
        <w:autoSpaceDN w:val="0"/>
        <w:adjustRightInd w:val="0"/>
        <w:spacing w:after="0" w:line="360" w:lineRule="auto"/>
        <w:ind w:firstLine="709"/>
        <w:jc w:val="both"/>
        <w:rPr>
          <w:rFonts w:ascii="Times New Roman" w:hAnsi="Times New Roman"/>
          <w:sz w:val="28"/>
          <w:szCs w:val="28"/>
          <w:lang w:val="en-US" w:eastAsia="ru-RU"/>
        </w:rPr>
      </w:pPr>
      <w:r w:rsidRPr="00982D01">
        <w:rPr>
          <w:rFonts w:ascii="Times New Roman" w:hAnsi="Times New Roman"/>
          <w:sz w:val="28"/>
          <w:szCs w:val="28"/>
          <w:lang w:val="en-US" w:eastAsia="ru-RU"/>
        </w:rPr>
        <w:t xml:space="preserve">The article is devoted to the little-known fact of the fighting of Soviet troops in the west of the Stavropol Territory in the period from 3 to 5 August 1942. This episode is not considered in detail in the literature about the Battle for the Caucasus by A.A. </w:t>
      </w:r>
      <w:proofErr w:type="spellStart"/>
      <w:r w:rsidRPr="00982D01">
        <w:rPr>
          <w:rFonts w:ascii="Times New Roman" w:hAnsi="Times New Roman"/>
          <w:sz w:val="28"/>
          <w:szCs w:val="28"/>
          <w:lang w:val="en-US" w:eastAsia="ru-RU"/>
        </w:rPr>
        <w:t>Grechko</w:t>
      </w:r>
      <w:proofErr w:type="spellEnd"/>
      <w:r w:rsidRPr="00982D01">
        <w:rPr>
          <w:rFonts w:ascii="Times New Roman" w:hAnsi="Times New Roman"/>
          <w:sz w:val="28"/>
          <w:szCs w:val="28"/>
          <w:lang w:val="en-US" w:eastAsia="ru-RU"/>
        </w:rPr>
        <w:t xml:space="preserve">, S.V. </w:t>
      </w:r>
      <w:proofErr w:type="spellStart"/>
      <w:r w:rsidRPr="00982D01">
        <w:rPr>
          <w:rFonts w:ascii="Times New Roman" w:hAnsi="Times New Roman"/>
          <w:sz w:val="28"/>
          <w:szCs w:val="28"/>
          <w:lang w:val="en-US" w:eastAsia="ru-RU"/>
        </w:rPr>
        <w:t>Yanush</w:t>
      </w:r>
      <w:proofErr w:type="spellEnd"/>
      <w:r w:rsidRPr="00982D01">
        <w:rPr>
          <w:rFonts w:ascii="Times New Roman" w:hAnsi="Times New Roman"/>
          <w:sz w:val="28"/>
          <w:szCs w:val="28"/>
          <w:lang w:val="en-US" w:eastAsia="ru-RU"/>
        </w:rPr>
        <w:t xml:space="preserve"> and other authors. An exception is the work devoted to assessing the personality of the commander of the 1st Separate Rifle Corps, </w:t>
      </w:r>
      <w:r w:rsidRPr="00982D01">
        <w:rPr>
          <w:rFonts w:ascii="Times New Roman" w:hAnsi="Times New Roman"/>
          <w:sz w:val="28"/>
          <w:szCs w:val="28"/>
          <w:lang w:val="en-US" w:eastAsia="ru-RU"/>
        </w:rPr>
        <w:lastRenderedPageBreak/>
        <w:t xml:space="preserve">Colonel M.M. Shaposhnikov, who defected to the enemy after leaving the city of Armavir. The village of </w:t>
      </w:r>
      <w:proofErr w:type="spellStart"/>
      <w:r w:rsidRPr="00982D01">
        <w:rPr>
          <w:rFonts w:ascii="Times New Roman" w:hAnsi="Times New Roman"/>
          <w:sz w:val="28"/>
          <w:szCs w:val="28"/>
          <w:lang w:val="en-US" w:eastAsia="ru-RU"/>
        </w:rPr>
        <w:t>Smykov</w:t>
      </w:r>
      <w:proofErr w:type="spellEnd"/>
      <w:r w:rsidRPr="00982D01">
        <w:rPr>
          <w:rFonts w:ascii="Times New Roman" w:hAnsi="Times New Roman"/>
          <w:sz w:val="28"/>
          <w:szCs w:val="28"/>
          <w:lang w:val="en-US" w:eastAsia="ru-RU"/>
        </w:rPr>
        <w:t xml:space="preserve"> and the village of </w:t>
      </w:r>
      <w:proofErr w:type="spellStart"/>
      <w:r w:rsidRPr="00982D01">
        <w:rPr>
          <w:rFonts w:ascii="Times New Roman" w:hAnsi="Times New Roman"/>
          <w:sz w:val="28"/>
          <w:szCs w:val="28"/>
          <w:lang w:val="en-US" w:eastAsia="ru-RU"/>
        </w:rPr>
        <w:t>Grigoropolisskaya</w:t>
      </w:r>
      <w:proofErr w:type="spellEnd"/>
      <w:r w:rsidRPr="00982D01">
        <w:rPr>
          <w:rFonts w:ascii="Times New Roman" w:hAnsi="Times New Roman"/>
          <w:sz w:val="28"/>
          <w:szCs w:val="28"/>
          <w:lang w:val="en-US" w:eastAsia="ru-RU"/>
        </w:rPr>
        <w:t xml:space="preserve"> were defended by formations and units of this corps, as well as other military formations of the Soviet troops retreating in this direction. Based on archival sources and memories, the course of military events is recreated, the purpose of these actions is shown: to provide cover for the troops of the 12th army retreating beyond the Kuban. A brief description of the </w:t>
      </w:r>
      <w:proofErr w:type="spellStart"/>
      <w:r w:rsidRPr="00982D01">
        <w:rPr>
          <w:rFonts w:ascii="Times New Roman" w:hAnsi="Times New Roman"/>
          <w:sz w:val="28"/>
          <w:szCs w:val="28"/>
          <w:lang w:val="en-US" w:eastAsia="ru-RU"/>
        </w:rPr>
        <w:t>Smykov</w:t>
      </w:r>
      <w:proofErr w:type="spellEnd"/>
      <w:r w:rsidRPr="00982D01">
        <w:rPr>
          <w:rFonts w:ascii="Times New Roman" w:hAnsi="Times New Roman"/>
          <w:sz w:val="28"/>
          <w:szCs w:val="28"/>
          <w:lang w:val="en-US" w:eastAsia="ru-RU"/>
        </w:rPr>
        <w:t xml:space="preserve"> line, </w:t>
      </w:r>
      <w:proofErr w:type="spellStart"/>
      <w:r w:rsidRPr="00982D01">
        <w:rPr>
          <w:rFonts w:ascii="Times New Roman" w:hAnsi="Times New Roman"/>
          <w:sz w:val="28"/>
          <w:szCs w:val="28"/>
          <w:lang w:val="en-US" w:eastAsia="ru-RU"/>
        </w:rPr>
        <w:t>Grigoropolis</w:t>
      </w:r>
      <w:proofErr w:type="spellEnd"/>
      <w:r w:rsidRPr="00982D01">
        <w:rPr>
          <w:rFonts w:ascii="Times New Roman" w:hAnsi="Times New Roman"/>
          <w:sz w:val="28"/>
          <w:szCs w:val="28"/>
          <w:lang w:val="en-US" w:eastAsia="ru-RU"/>
        </w:rPr>
        <w:t xml:space="preserve">, is given, its advantages are shown. There is an explanation for the change in the plans of the command of the North Caucasus Front, when the previous task was canceled and this defensive line was assigned. This circumstance did not allow to prepare the defense efficiently, to ensure the inviolability of crossings across the Kuban River in the area of the village of </w:t>
      </w:r>
      <w:proofErr w:type="spellStart"/>
      <w:r w:rsidRPr="00982D01">
        <w:rPr>
          <w:rFonts w:ascii="Times New Roman" w:hAnsi="Times New Roman"/>
          <w:sz w:val="28"/>
          <w:szCs w:val="28"/>
          <w:lang w:val="en-US" w:eastAsia="ru-RU"/>
        </w:rPr>
        <w:t>Prochnookopskaya</w:t>
      </w:r>
      <w:proofErr w:type="spellEnd"/>
      <w:r w:rsidRPr="00982D01">
        <w:rPr>
          <w:rFonts w:ascii="Times New Roman" w:hAnsi="Times New Roman"/>
          <w:sz w:val="28"/>
          <w:szCs w:val="28"/>
          <w:lang w:val="en-US" w:eastAsia="ru-RU"/>
        </w:rPr>
        <w:t xml:space="preserve"> and the city of Armavir, as well as to defeat the enemy on the distant approaches to </w:t>
      </w:r>
      <w:proofErr w:type="spellStart"/>
      <w:r w:rsidRPr="00982D01">
        <w:rPr>
          <w:rFonts w:ascii="Times New Roman" w:hAnsi="Times New Roman"/>
          <w:sz w:val="28"/>
          <w:szCs w:val="28"/>
          <w:lang w:val="en-US" w:eastAsia="ru-RU"/>
        </w:rPr>
        <w:t>Maykop</w:t>
      </w:r>
      <w:proofErr w:type="spellEnd"/>
      <w:r w:rsidRPr="00982D01">
        <w:rPr>
          <w:rFonts w:ascii="Times New Roman" w:hAnsi="Times New Roman"/>
          <w:sz w:val="28"/>
          <w:szCs w:val="28"/>
          <w:lang w:val="en-US" w:eastAsia="ru-RU"/>
        </w:rPr>
        <w:t>. The actions of the enemy are shown: the 13th Panzer Division of the Wehrmacht and the motorized SS division "Viking", which broke through the battle formations of corps rifle brigades. The complexity of the battles fought by the corps units with an inverted front, their intense and bloody nature, and the scale of losses of Soviet troops are revealed. The information is provided on the contribution of other formations and units to the defense of the right bank of the Kuban. The desire of the personnel to fulfill the assigned combat task is shown, the individual exploits of soldiers and commanders are described. The names of the officers of the command staff of the 1st Separate Rifle Corps, who, unlike the corps commander who betrayed the motherland, continued to fulfill their military duty to the end and passed the roads of war with honor.</w:t>
      </w:r>
    </w:p>
    <w:p w14:paraId="26E31604" w14:textId="77777777" w:rsidR="005007ED" w:rsidRPr="00982D01" w:rsidRDefault="005007ED" w:rsidP="005007ED">
      <w:pPr>
        <w:autoSpaceDE w:val="0"/>
        <w:autoSpaceDN w:val="0"/>
        <w:adjustRightInd w:val="0"/>
        <w:spacing w:after="0" w:line="360" w:lineRule="auto"/>
        <w:ind w:firstLine="709"/>
        <w:jc w:val="both"/>
        <w:rPr>
          <w:rFonts w:ascii="Times New Roman" w:hAnsi="Times New Roman"/>
          <w:sz w:val="28"/>
          <w:szCs w:val="28"/>
          <w:lang w:val="en-US" w:eastAsia="ru-RU"/>
        </w:rPr>
      </w:pPr>
      <w:r w:rsidRPr="00982D01">
        <w:rPr>
          <w:rFonts w:ascii="Times New Roman" w:hAnsi="Times New Roman"/>
          <w:b/>
          <w:sz w:val="28"/>
          <w:szCs w:val="28"/>
          <w:lang w:val="en-US" w:eastAsia="ru-RU"/>
        </w:rPr>
        <w:t>Key words:</w:t>
      </w:r>
      <w:r w:rsidRPr="00982D01">
        <w:rPr>
          <w:rFonts w:ascii="Times New Roman" w:hAnsi="Times New Roman"/>
          <w:sz w:val="28"/>
          <w:szCs w:val="28"/>
          <w:lang w:val="en-US" w:eastAsia="ru-RU"/>
        </w:rPr>
        <w:t xml:space="preserve"> battles in the Stavropol Territory, August 1942, 1st Separate Rifle Corps, 113th and 139th rifle brigades, </w:t>
      </w:r>
      <w:proofErr w:type="spellStart"/>
      <w:r w:rsidRPr="00982D01">
        <w:rPr>
          <w:rFonts w:ascii="Times New Roman" w:hAnsi="Times New Roman"/>
          <w:sz w:val="28"/>
          <w:szCs w:val="28"/>
          <w:lang w:val="en-US" w:eastAsia="ru-RU"/>
        </w:rPr>
        <w:t>Grigoropolis</w:t>
      </w:r>
      <w:proofErr w:type="spellEnd"/>
      <w:r w:rsidRPr="00982D01">
        <w:rPr>
          <w:rFonts w:ascii="Times New Roman" w:hAnsi="Times New Roman"/>
          <w:sz w:val="28"/>
          <w:szCs w:val="28"/>
          <w:lang w:val="en-US" w:eastAsia="ru-RU"/>
        </w:rPr>
        <w:t xml:space="preserve">, </w:t>
      </w:r>
      <w:proofErr w:type="spellStart"/>
      <w:r w:rsidRPr="00982D01">
        <w:rPr>
          <w:rFonts w:ascii="Times New Roman" w:hAnsi="Times New Roman"/>
          <w:sz w:val="28"/>
          <w:szCs w:val="28"/>
          <w:lang w:val="en-US" w:eastAsia="ru-RU"/>
        </w:rPr>
        <w:t>Smykov</w:t>
      </w:r>
      <w:proofErr w:type="spellEnd"/>
      <w:r w:rsidRPr="00982D01">
        <w:rPr>
          <w:rFonts w:ascii="Times New Roman" w:hAnsi="Times New Roman"/>
          <w:sz w:val="28"/>
          <w:szCs w:val="28"/>
          <w:lang w:val="en-US" w:eastAsia="ru-RU"/>
        </w:rPr>
        <w:t>.</w:t>
      </w:r>
    </w:p>
    <w:p w14:paraId="6C0EB83E" w14:textId="77777777" w:rsidR="009E53B4" w:rsidRPr="00982D01" w:rsidRDefault="009E53B4" w:rsidP="009E53B4">
      <w:pPr>
        <w:spacing w:line="240" w:lineRule="auto"/>
        <w:ind w:left="720"/>
        <w:contextualSpacing/>
        <w:jc w:val="both"/>
        <w:rPr>
          <w:rFonts w:ascii="Times New Roman" w:hAnsi="Times New Roman" w:cs="Times New Roman"/>
          <w:b/>
          <w:bCs/>
          <w:color w:val="000000" w:themeColor="text1"/>
          <w:sz w:val="28"/>
          <w:szCs w:val="28"/>
          <w:lang w:val="en-US"/>
        </w:rPr>
      </w:pPr>
    </w:p>
    <w:p w14:paraId="0BBF0462" w14:textId="77777777" w:rsidR="009E53B4" w:rsidRPr="00982D01" w:rsidRDefault="009E53B4" w:rsidP="009E53B4">
      <w:pPr>
        <w:spacing w:line="360" w:lineRule="auto"/>
        <w:contextualSpacing/>
        <w:rPr>
          <w:rFonts w:ascii="Times New Roman" w:hAnsi="Times New Roman" w:cs="Times New Roman"/>
          <w:b/>
          <w:bCs/>
          <w:sz w:val="28"/>
          <w:szCs w:val="28"/>
        </w:rPr>
      </w:pPr>
      <w:r w:rsidRPr="00982D01">
        <w:rPr>
          <w:rFonts w:ascii="Times New Roman" w:hAnsi="Times New Roman" w:cs="Times New Roman"/>
          <w:b/>
          <w:bCs/>
          <w:sz w:val="28"/>
          <w:szCs w:val="28"/>
        </w:rPr>
        <w:t>УДК 94(37).08</w:t>
      </w:r>
    </w:p>
    <w:p w14:paraId="3A17DFC5" w14:textId="77777777" w:rsidR="009E53B4" w:rsidRPr="00254E3F" w:rsidRDefault="009E53B4" w:rsidP="009E53B4">
      <w:pPr>
        <w:spacing w:line="360" w:lineRule="auto"/>
        <w:contextualSpacing/>
        <w:jc w:val="right"/>
        <w:rPr>
          <w:rFonts w:ascii="Times New Roman" w:hAnsi="Times New Roman" w:cs="Times New Roman"/>
          <w:b/>
          <w:bCs/>
          <w:sz w:val="28"/>
          <w:szCs w:val="28"/>
        </w:rPr>
      </w:pPr>
      <w:r w:rsidRPr="00254E3F">
        <w:rPr>
          <w:rFonts w:ascii="Times New Roman" w:hAnsi="Times New Roman" w:cs="Times New Roman"/>
          <w:b/>
          <w:bCs/>
          <w:sz w:val="28"/>
          <w:szCs w:val="28"/>
        </w:rPr>
        <w:t>http://doi.org/10.37493/2409-1030.2022.2.6</w:t>
      </w:r>
    </w:p>
    <w:p w14:paraId="40F05CF0" w14:textId="77777777" w:rsidR="009E53B4" w:rsidRPr="00982D01" w:rsidRDefault="009E53B4" w:rsidP="009E53B4">
      <w:pPr>
        <w:spacing w:line="360" w:lineRule="auto"/>
        <w:contextualSpacing/>
        <w:jc w:val="right"/>
        <w:rPr>
          <w:rFonts w:ascii="Times New Roman" w:hAnsi="Times New Roman" w:cs="Times New Roman"/>
          <w:b/>
          <w:bCs/>
          <w:color w:val="000000" w:themeColor="text1"/>
          <w:sz w:val="28"/>
          <w:szCs w:val="28"/>
        </w:rPr>
      </w:pPr>
      <w:r w:rsidRPr="00982D01">
        <w:rPr>
          <w:rFonts w:ascii="Times New Roman" w:hAnsi="Times New Roman" w:cs="Times New Roman"/>
          <w:b/>
          <w:bCs/>
          <w:color w:val="000000" w:themeColor="text1"/>
          <w:sz w:val="28"/>
          <w:szCs w:val="28"/>
        </w:rPr>
        <w:t xml:space="preserve">В.А. </w:t>
      </w:r>
      <w:proofErr w:type="spellStart"/>
      <w:r w:rsidRPr="00982D01">
        <w:rPr>
          <w:rFonts w:ascii="Times New Roman" w:hAnsi="Times New Roman" w:cs="Times New Roman"/>
          <w:b/>
          <w:bCs/>
          <w:color w:val="000000" w:themeColor="text1"/>
          <w:sz w:val="28"/>
          <w:szCs w:val="28"/>
        </w:rPr>
        <w:t>Конопаткин</w:t>
      </w:r>
      <w:proofErr w:type="spellEnd"/>
    </w:p>
    <w:p w14:paraId="602A2AE4" w14:textId="77777777" w:rsidR="009E53B4" w:rsidRPr="00982D01" w:rsidRDefault="009E53B4" w:rsidP="009E53B4">
      <w:pPr>
        <w:spacing w:line="360" w:lineRule="auto"/>
        <w:contextualSpacing/>
        <w:jc w:val="right"/>
        <w:rPr>
          <w:rFonts w:ascii="Times New Roman" w:hAnsi="Times New Roman" w:cs="Times New Roman"/>
          <w:b/>
          <w:bCs/>
          <w:color w:val="000000" w:themeColor="text1"/>
          <w:sz w:val="28"/>
          <w:szCs w:val="28"/>
        </w:rPr>
      </w:pPr>
      <w:r w:rsidRPr="00982D01">
        <w:rPr>
          <w:rFonts w:ascii="Times New Roman" w:hAnsi="Times New Roman" w:cs="Times New Roman"/>
          <w:b/>
          <w:bCs/>
          <w:color w:val="000000" w:themeColor="text1"/>
          <w:sz w:val="28"/>
          <w:szCs w:val="28"/>
        </w:rPr>
        <w:t>А.М. Скворцов</w:t>
      </w:r>
    </w:p>
    <w:p w14:paraId="4CBC6683" w14:textId="77777777" w:rsidR="009E53B4" w:rsidRPr="00982D01" w:rsidRDefault="009E53B4" w:rsidP="009E53B4">
      <w:pPr>
        <w:spacing w:line="360" w:lineRule="auto"/>
        <w:contextualSpacing/>
        <w:jc w:val="center"/>
        <w:rPr>
          <w:rFonts w:ascii="Times New Roman" w:hAnsi="Times New Roman" w:cs="Times New Roman"/>
          <w:b/>
          <w:bCs/>
          <w:color w:val="000000" w:themeColor="text1"/>
          <w:sz w:val="28"/>
          <w:szCs w:val="28"/>
        </w:rPr>
      </w:pPr>
      <w:r w:rsidRPr="00982D01">
        <w:rPr>
          <w:rFonts w:ascii="Times New Roman" w:hAnsi="Times New Roman" w:cs="Times New Roman"/>
          <w:b/>
          <w:bCs/>
          <w:color w:val="000000" w:themeColor="text1"/>
          <w:sz w:val="28"/>
          <w:szCs w:val="28"/>
        </w:rPr>
        <w:lastRenderedPageBreak/>
        <w:t>ТИТУЛАТУРА ИМПЕРАТОРОВ ПОЗДНЕЙ РИМСКОЙ ИМПЕРИИ (КОНЕЦ III – СЕРЕДИНА V ВВ.)</w:t>
      </w:r>
    </w:p>
    <w:p w14:paraId="72B588D4" w14:textId="77777777" w:rsidR="009E53B4" w:rsidRPr="00982D01" w:rsidRDefault="009E53B4" w:rsidP="009E53B4">
      <w:pPr>
        <w:spacing w:line="360" w:lineRule="auto"/>
        <w:ind w:firstLine="709"/>
        <w:contextualSpacing/>
        <w:jc w:val="both"/>
        <w:rPr>
          <w:rFonts w:ascii="Times New Roman" w:hAnsi="Times New Roman" w:cs="Times New Roman"/>
          <w:color w:val="000000" w:themeColor="text1"/>
          <w:sz w:val="28"/>
          <w:szCs w:val="28"/>
        </w:rPr>
      </w:pPr>
      <w:r w:rsidRPr="00982D01">
        <w:rPr>
          <w:rFonts w:ascii="Times New Roman" w:hAnsi="Times New Roman" w:cs="Times New Roman"/>
          <w:color w:val="000000" w:themeColor="text1"/>
          <w:sz w:val="28"/>
          <w:szCs w:val="28"/>
        </w:rPr>
        <w:t>В последние годы у самых разных исследователей наблюдается повышенный интерес к феноменам, непосредственно связанным с социокультурным способом властвования. Однако в отечественной историографии пристальному изучению в этом ключе подвергается лишь эпоха средневековья, а античность же остается практически без внимания. Кроме того, современные историки, разрабатывающие концепцию «Поздней античности», первоначально делали акцент на культурной, религиозной и социальной сферах позднеантичного общества, а политическая и институциональная история их мало интересовала. В результате, сложилась нехватка исследований по этим вопросам. Рассмотрение титулатуры римского императора позволяет восполнить обозначенные пробелы.</w:t>
      </w:r>
    </w:p>
    <w:p w14:paraId="394F13AB" w14:textId="77777777" w:rsidR="009E53B4" w:rsidRPr="00982D01" w:rsidRDefault="009E53B4" w:rsidP="009E53B4">
      <w:pPr>
        <w:spacing w:line="360" w:lineRule="auto"/>
        <w:ind w:firstLine="709"/>
        <w:contextualSpacing/>
        <w:jc w:val="both"/>
        <w:rPr>
          <w:rFonts w:ascii="Times New Roman" w:hAnsi="Times New Roman" w:cs="Times New Roman"/>
          <w:color w:val="000000" w:themeColor="text1"/>
          <w:sz w:val="28"/>
          <w:szCs w:val="28"/>
        </w:rPr>
      </w:pPr>
      <w:r w:rsidRPr="00982D01">
        <w:rPr>
          <w:rFonts w:ascii="Times New Roman" w:hAnsi="Times New Roman" w:cs="Times New Roman"/>
          <w:color w:val="000000" w:themeColor="text1"/>
          <w:sz w:val="28"/>
          <w:szCs w:val="28"/>
        </w:rPr>
        <w:t xml:space="preserve">Авторы на основании анализа комплекса нумизматических и эпиграфических источников выявляет процесс трансформации титулатуры римских императоров, составляющих ее элементов в III–V вв. Делается вывод о постепенном исчезновении титула </w:t>
      </w:r>
      <w:proofErr w:type="spellStart"/>
      <w:r w:rsidRPr="00982D01">
        <w:rPr>
          <w:rFonts w:ascii="Times New Roman" w:hAnsi="Times New Roman" w:cs="Times New Roman"/>
          <w:color w:val="000000" w:themeColor="text1"/>
          <w:sz w:val="28"/>
          <w:szCs w:val="28"/>
        </w:rPr>
        <w:t>imperator</w:t>
      </w:r>
      <w:proofErr w:type="spellEnd"/>
      <w:r w:rsidRPr="00982D01">
        <w:rPr>
          <w:rFonts w:ascii="Times New Roman" w:hAnsi="Times New Roman" w:cs="Times New Roman"/>
          <w:color w:val="000000" w:themeColor="text1"/>
          <w:sz w:val="28"/>
          <w:szCs w:val="28"/>
        </w:rPr>
        <w:t xml:space="preserve">, мало использовавшемся уже при наследниках Константина. Основным титулом становится </w:t>
      </w:r>
      <w:proofErr w:type="spellStart"/>
      <w:r w:rsidRPr="00982D01">
        <w:rPr>
          <w:rFonts w:ascii="Times New Roman" w:hAnsi="Times New Roman" w:cs="Times New Roman"/>
          <w:color w:val="000000" w:themeColor="text1"/>
          <w:sz w:val="28"/>
          <w:szCs w:val="28"/>
        </w:rPr>
        <w:t>dominus</w:t>
      </w:r>
      <w:proofErr w:type="spellEnd"/>
      <w:r w:rsidRPr="00982D01">
        <w:rPr>
          <w:rFonts w:ascii="Times New Roman" w:hAnsi="Times New Roman" w:cs="Times New Roman"/>
          <w:color w:val="000000" w:themeColor="text1"/>
          <w:sz w:val="28"/>
          <w:szCs w:val="28"/>
        </w:rPr>
        <w:t xml:space="preserve"> </w:t>
      </w:r>
      <w:proofErr w:type="spellStart"/>
      <w:r w:rsidRPr="00982D01">
        <w:rPr>
          <w:rFonts w:ascii="Times New Roman" w:hAnsi="Times New Roman" w:cs="Times New Roman"/>
          <w:color w:val="000000" w:themeColor="text1"/>
          <w:sz w:val="28"/>
          <w:szCs w:val="28"/>
        </w:rPr>
        <w:t>noster</w:t>
      </w:r>
      <w:proofErr w:type="spellEnd"/>
      <w:r w:rsidRPr="00982D01">
        <w:rPr>
          <w:rFonts w:ascii="Times New Roman" w:hAnsi="Times New Roman" w:cs="Times New Roman"/>
          <w:color w:val="000000" w:themeColor="text1"/>
          <w:sz w:val="28"/>
          <w:szCs w:val="28"/>
        </w:rPr>
        <w:t xml:space="preserve">, который все чаще включался в официальное имя с III в. Также отмечается поэтапное исключение победных аккламаций, эпитетов </w:t>
      </w:r>
      <w:proofErr w:type="spellStart"/>
      <w:r w:rsidRPr="00982D01">
        <w:rPr>
          <w:rFonts w:ascii="Times New Roman" w:hAnsi="Times New Roman" w:cs="Times New Roman"/>
          <w:color w:val="000000" w:themeColor="text1"/>
          <w:sz w:val="28"/>
          <w:szCs w:val="28"/>
        </w:rPr>
        <w:t>pius</w:t>
      </w:r>
      <w:proofErr w:type="spellEnd"/>
      <w:r w:rsidRPr="00982D01">
        <w:rPr>
          <w:rFonts w:ascii="Times New Roman" w:hAnsi="Times New Roman" w:cs="Times New Roman"/>
          <w:color w:val="000000" w:themeColor="text1"/>
          <w:sz w:val="28"/>
          <w:szCs w:val="28"/>
        </w:rPr>
        <w:t xml:space="preserve">, </w:t>
      </w:r>
      <w:proofErr w:type="spellStart"/>
      <w:r w:rsidRPr="00982D01">
        <w:rPr>
          <w:rFonts w:ascii="Times New Roman" w:hAnsi="Times New Roman" w:cs="Times New Roman"/>
          <w:color w:val="000000" w:themeColor="text1"/>
          <w:sz w:val="28"/>
          <w:szCs w:val="28"/>
        </w:rPr>
        <w:t>felix</w:t>
      </w:r>
      <w:proofErr w:type="spellEnd"/>
      <w:r w:rsidRPr="00982D01">
        <w:rPr>
          <w:rFonts w:ascii="Times New Roman" w:hAnsi="Times New Roman" w:cs="Times New Roman"/>
          <w:color w:val="000000" w:themeColor="text1"/>
          <w:sz w:val="28"/>
          <w:szCs w:val="28"/>
        </w:rPr>
        <w:t xml:space="preserve">, </w:t>
      </w:r>
      <w:proofErr w:type="spellStart"/>
      <w:r w:rsidRPr="00982D01">
        <w:rPr>
          <w:rFonts w:ascii="Times New Roman" w:hAnsi="Times New Roman" w:cs="Times New Roman"/>
          <w:color w:val="000000" w:themeColor="text1"/>
          <w:sz w:val="28"/>
          <w:szCs w:val="28"/>
        </w:rPr>
        <w:t>invictus</w:t>
      </w:r>
      <w:proofErr w:type="spellEnd"/>
      <w:r w:rsidRPr="00982D01">
        <w:rPr>
          <w:rFonts w:ascii="Times New Roman" w:hAnsi="Times New Roman" w:cs="Times New Roman"/>
          <w:color w:val="000000" w:themeColor="text1"/>
          <w:sz w:val="28"/>
          <w:szCs w:val="28"/>
        </w:rPr>
        <w:t xml:space="preserve">, упоминания республиканских должностей, титула </w:t>
      </w:r>
      <w:proofErr w:type="spellStart"/>
      <w:r w:rsidRPr="00982D01">
        <w:rPr>
          <w:rFonts w:ascii="Times New Roman" w:hAnsi="Times New Roman" w:cs="Times New Roman"/>
          <w:color w:val="000000" w:themeColor="text1"/>
          <w:sz w:val="28"/>
          <w:szCs w:val="28"/>
        </w:rPr>
        <w:t>Caesar</w:t>
      </w:r>
      <w:proofErr w:type="spellEnd"/>
      <w:r w:rsidRPr="00982D01">
        <w:rPr>
          <w:rFonts w:ascii="Times New Roman" w:hAnsi="Times New Roman" w:cs="Times New Roman"/>
          <w:color w:val="000000" w:themeColor="text1"/>
          <w:sz w:val="28"/>
          <w:szCs w:val="28"/>
        </w:rPr>
        <w:t xml:space="preserve">. Однако наблюдается появление оборота </w:t>
      </w:r>
      <w:proofErr w:type="spellStart"/>
      <w:r w:rsidRPr="00982D01">
        <w:rPr>
          <w:rFonts w:ascii="Times New Roman" w:hAnsi="Times New Roman" w:cs="Times New Roman"/>
          <w:color w:val="000000" w:themeColor="text1"/>
          <w:sz w:val="28"/>
          <w:szCs w:val="28"/>
        </w:rPr>
        <w:t>victor</w:t>
      </w:r>
      <w:proofErr w:type="spellEnd"/>
      <w:r w:rsidRPr="00982D01">
        <w:rPr>
          <w:rFonts w:ascii="Times New Roman" w:hAnsi="Times New Roman" w:cs="Times New Roman"/>
          <w:color w:val="000000" w:themeColor="text1"/>
          <w:sz w:val="28"/>
          <w:szCs w:val="28"/>
        </w:rPr>
        <w:t xml:space="preserve"> </w:t>
      </w:r>
      <w:proofErr w:type="spellStart"/>
      <w:r w:rsidRPr="00982D01">
        <w:rPr>
          <w:rFonts w:ascii="Times New Roman" w:hAnsi="Times New Roman" w:cs="Times New Roman"/>
          <w:color w:val="000000" w:themeColor="text1"/>
          <w:sz w:val="28"/>
          <w:szCs w:val="28"/>
        </w:rPr>
        <w:t>et</w:t>
      </w:r>
      <w:proofErr w:type="spellEnd"/>
      <w:r w:rsidRPr="00982D01">
        <w:rPr>
          <w:rFonts w:ascii="Times New Roman" w:hAnsi="Times New Roman" w:cs="Times New Roman"/>
          <w:color w:val="000000" w:themeColor="text1"/>
          <w:sz w:val="28"/>
          <w:szCs w:val="28"/>
        </w:rPr>
        <w:t xml:space="preserve"> </w:t>
      </w:r>
      <w:proofErr w:type="spellStart"/>
      <w:r w:rsidRPr="00982D01">
        <w:rPr>
          <w:rFonts w:ascii="Times New Roman" w:hAnsi="Times New Roman" w:cs="Times New Roman"/>
          <w:color w:val="000000" w:themeColor="text1"/>
          <w:sz w:val="28"/>
          <w:szCs w:val="28"/>
        </w:rPr>
        <w:t>triumphator</w:t>
      </w:r>
      <w:proofErr w:type="spellEnd"/>
      <w:r w:rsidRPr="00982D01">
        <w:rPr>
          <w:rFonts w:ascii="Times New Roman" w:hAnsi="Times New Roman" w:cs="Times New Roman"/>
          <w:color w:val="000000" w:themeColor="text1"/>
          <w:sz w:val="28"/>
          <w:szCs w:val="28"/>
        </w:rPr>
        <w:t xml:space="preserve">, а также эпитетов </w:t>
      </w:r>
      <w:proofErr w:type="spellStart"/>
      <w:r w:rsidRPr="00982D01">
        <w:rPr>
          <w:rFonts w:ascii="Times New Roman" w:hAnsi="Times New Roman" w:cs="Times New Roman"/>
          <w:color w:val="000000" w:themeColor="text1"/>
          <w:sz w:val="28"/>
          <w:szCs w:val="28"/>
        </w:rPr>
        <w:t>semper</w:t>
      </w:r>
      <w:proofErr w:type="spellEnd"/>
      <w:r w:rsidRPr="00982D01">
        <w:rPr>
          <w:rFonts w:ascii="Times New Roman" w:hAnsi="Times New Roman" w:cs="Times New Roman"/>
          <w:color w:val="000000" w:themeColor="text1"/>
          <w:sz w:val="28"/>
          <w:szCs w:val="28"/>
        </w:rPr>
        <w:t xml:space="preserve"> или </w:t>
      </w:r>
      <w:proofErr w:type="spellStart"/>
      <w:r w:rsidRPr="00982D01">
        <w:rPr>
          <w:rFonts w:ascii="Times New Roman" w:hAnsi="Times New Roman" w:cs="Times New Roman"/>
          <w:color w:val="000000" w:themeColor="text1"/>
          <w:sz w:val="28"/>
          <w:szCs w:val="28"/>
        </w:rPr>
        <w:t>perpetuus</w:t>
      </w:r>
      <w:proofErr w:type="spellEnd"/>
      <w:r w:rsidRPr="00982D01">
        <w:rPr>
          <w:rFonts w:ascii="Times New Roman" w:hAnsi="Times New Roman" w:cs="Times New Roman"/>
          <w:color w:val="000000" w:themeColor="text1"/>
          <w:sz w:val="28"/>
          <w:szCs w:val="28"/>
        </w:rPr>
        <w:t xml:space="preserve"> к титулу </w:t>
      </w:r>
      <w:proofErr w:type="spellStart"/>
      <w:r w:rsidRPr="00982D01">
        <w:rPr>
          <w:rFonts w:ascii="Times New Roman" w:hAnsi="Times New Roman" w:cs="Times New Roman"/>
          <w:color w:val="000000" w:themeColor="text1"/>
          <w:sz w:val="28"/>
          <w:szCs w:val="28"/>
        </w:rPr>
        <w:t>augustus</w:t>
      </w:r>
      <w:proofErr w:type="spellEnd"/>
      <w:r w:rsidRPr="00982D01">
        <w:rPr>
          <w:rFonts w:ascii="Times New Roman" w:hAnsi="Times New Roman" w:cs="Times New Roman"/>
          <w:color w:val="000000" w:themeColor="text1"/>
          <w:sz w:val="28"/>
          <w:szCs w:val="28"/>
        </w:rPr>
        <w:t xml:space="preserve">. </w:t>
      </w:r>
    </w:p>
    <w:p w14:paraId="29B25B44" w14:textId="77777777" w:rsidR="009E53B4" w:rsidRPr="00982D01" w:rsidRDefault="009E53B4" w:rsidP="009E53B4">
      <w:pPr>
        <w:spacing w:line="360" w:lineRule="auto"/>
        <w:ind w:firstLine="709"/>
        <w:contextualSpacing/>
        <w:jc w:val="both"/>
        <w:rPr>
          <w:rFonts w:ascii="Times New Roman" w:hAnsi="Times New Roman" w:cs="Times New Roman"/>
          <w:color w:val="000000" w:themeColor="text1"/>
          <w:sz w:val="28"/>
          <w:szCs w:val="28"/>
        </w:rPr>
      </w:pPr>
      <w:r w:rsidRPr="00982D01">
        <w:rPr>
          <w:rFonts w:ascii="Times New Roman" w:hAnsi="Times New Roman" w:cs="Times New Roman"/>
          <w:color w:val="000000" w:themeColor="text1"/>
          <w:sz w:val="28"/>
          <w:szCs w:val="28"/>
        </w:rPr>
        <w:t>Обозначенные изменения в титулатуре объясняются автором смещением акцента с возвеличивания личности императора при помощи конкретных эпитетов на подчеркивание обезличенного и абсолютного характера императорской власти, выраженной в театрализованных ритуалах Поздней античности.</w:t>
      </w:r>
    </w:p>
    <w:p w14:paraId="3A6418DE" w14:textId="77777777" w:rsidR="009E53B4" w:rsidRPr="00982D01" w:rsidRDefault="009E53B4" w:rsidP="009E53B4">
      <w:pPr>
        <w:spacing w:line="360" w:lineRule="auto"/>
        <w:ind w:firstLine="709"/>
        <w:contextualSpacing/>
        <w:jc w:val="both"/>
        <w:rPr>
          <w:rFonts w:ascii="Times New Roman" w:hAnsi="Times New Roman" w:cs="Times New Roman"/>
          <w:color w:val="000000" w:themeColor="text1"/>
          <w:sz w:val="28"/>
          <w:szCs w:val="28"/>
        </w:rPr>
      </w:pPr>
      <w:r w:rsidRPr="00982D01">
        <w:rPr>
          <w:rFonts w:ascii="Times New Roman" w:hAnsi="Times New Roman" w:cs="Times New Roman"/>
          <w:b/>
          <w:bCs/>
          <w:color w:val="000000" w:themeColor="text1"/>
          <w:sz w:val="28"/>
          <w:szCs w:val="28"/>
        </w:rPr>
        <w:lastRenderedPageBreak/>
        <w:t>Ключевые слова</w:t>
      </w:r>
      <w:r w:rsidRPr="00982D01">
        <w:rPr>
          <w:rFonts w:ascii="Times New Roman" w:hAnsi="Times New Roman" w:cs="Times New Roman"/>
          <w:color w:val="000000" w:themeColor="text1"/>
          <w:sz w:val="28"/>
          <w:szCs w:val="28"/>
        </w:rPr>
        <w:t>:</w:t>
      </w:r>
      <w:r w:rsidRPr="00982D01">
        <w:rPr>
          <w:color w:val="000000" w:themeColor="text1"/>
          <w:sz w:val="28"/>
          <w:szCs w:val="28"/>
        </w:rPr>
        <w:t xml:space="preserve"> </w:t>
      </w:r>
      <w:r w:rsidRPr="00982D01">
        <w:rPr>
          <w:rFonts w:ascii="Times New Roman" w:hAnsi="Times New Roman" w:cs="Times New Roman"/>
          <w:color w:val="000000" w:themeColor="text1"/>
          <w:sz w:val="28"/>
          <w:szCs w:val="28"/>
        </w:rPr>
        <w:t xml:space="preserve">Поздняя античность, титулатура римских императоров, поздняя Римская империя, репрезентация власти, политическая </w:t>
      </w:r>
      <w:proofErr w:type="spellStart"/>
      <w:r w:rsidRPr="00982D01">
        <w:rPr>
          <w:rFonts w:ascii="Times New Roman" w:hAnsi="Times New Roman" w:cs="Times New Roman"/>
          <w:color w:val="000000" w:themeColor="text1"/>
          <w:sz w:val="28"/>
          <w:szCs w:val="28"/>
        </w:rPr>
        <w:t>имагология</w:t>
      </w:r>
      <w:proofErr w:type="spellEnd"/>
      <w:r w:rsidRPr="00982D01">
        <w:rPr>
          <w:rFonts w:ascii="Times New Roman" w:hAnsi="Times New Roman" w:cs="Times New Roman"/>
          <w:color w:val="000000" w:themeColor="text1"/>
          <w:sz w:val="28"/>
          <w:szCs w:val="28"/>
        </w:rPr>
        <w:t>, титулатура.</w:t>
      </w:r>
    </w:p>
    <w:p w14:paraId="2D1ADC55" w14:textId="77777777" w:rsidR="009E53B4" w:rsidRPr="002B2907" w:rsidRDefault="009E53B4" w:rsidP="009E53B4">
      <w:pPr>
        <w:spacing w:line="360" w:lineRule="auto"/>
        <w:ind w:firstLine="709"/>
        <w:contextualSpacing/>
        <w:jc w:val="right"/>
        <w:rPr>
          <w:rFonts w:ascii="Times New Roman" w:hAnsi="Times New Roman" w:cs="Times New Roman"/>
          <w:b/>
          <w:color w:val="000000" w:themeColor="text1"/>
          <w:sz w:val="28"/>
          <w:szCs w:val="28"/>
        </w:rPr>
      </w:pPr>
    </w:p>
    <w:p w14:paraId="7A8380FE" w14:textId="77777777" w:rsidR="009E53B4" w:rsidRPr="00982D01" w:rsidRDefault="009E53B4" w:rsidP="009E53B4">
      <w:pPr>
        <w:spacing w:line="360" w:lineRule="auto"/>
        <w:ind w:firstLine="709"/>
        <w:contextualSpacing/>
        <w:jc w:val="right"/>
        <w:rPr>
          <w:rFonts w:ascii="Times New Roman" w:hAnsi="Times New Roman" w:cs="Times New Roman"/>
          <w:b/>
          <w:color w:val="000000" w:themeColor="text1"/>
          <w:sz w:val="28"/>
          <w:szCs w:val="28"/>
          <w:lang w:val="en-US"/>
        </w:rPr>
      </w:pPr>
      <w:r w:rsidRPr="00982D01">
        <w:rPr>
          <w:rFonts w:ascii="Times New Roman" w:hAnsi="Times New Roman" w:cs="Times New Roman"/>
          <w:b/>
          <w:color w:val="000000" w:themeColor="text1"/>
          <w:sz w:val="28"/>
          <w:szCs w:val="28"/>
          <w:lang w:val="en-US"/>
        </w:rPr>
        <w:t xml:space="preserve">Vladislav A. </w:t>
      </w:r>
      <w:proofErr w:type="spellStart"/>
      <w:r w:rsidRPr="00982D01">
        <w:rPr>
          <w:rFonts w:ascii="Times New Roman" w:hAnsi="Times New Roman" w:cs="Times New Roman"/>
          <w:b/>
          <w:color w:val="000000" w:themeColor="text1"/>
          <w:sz w:val="28"/>
          <w:szCs w:val="28"/>
          <w:lang w:val="en-US"/>
        </w:rPr>
        <w:t>Konopatkin</w:t>
      </w:r>
      <w:proofErr w:type="spellEnd"/>
    </w:p>
    <w:p w14:paraId="21F8817E" w14:textId="77777777" w:rsidR="009E53B4" w:rsidRPr="00982D01" w:rsidRDefault="009E53B4" w:rsidP="009E53B4">
      <w:pPr>
        <w:spacing w:line="360" w:lineRule="auto"/>
        <w:ind w:firstLine="709"/>
        <w:contextualSpacing/>
        <w:jc w:val="right"/>
        <w:rPr>
          <w:rFonts w:ascii="Times New Roman" w:hAnsi="Times New Roman" w:cs="Times New Roman"/>
          <w:b/>
          <w:color w:val="000000" w:themeColor="text1"/>
          <w:sz w:val="28"/>
          <w:szCs w:val="28"/>
          <w:lang w:val="en-US"/>
        </w:rPr>
      </w:pPr>
      <w:r w:rsidRPr="00982D01">
        <w:rPr>
          <w:rFonts w:ascii="Times New Roman" w:hAnsi="Times New Roman" w:cs="Times New Roman"/>
          <w:b/>
          <w:color w:val="000000" w:themeColor="text1"/>
          <w:sz w:val="28"/>
          <w:szCs w:val="28"/>
          <w:lang w:val="en-US"/>
        </w:rPr>
        <w:t xml:space="preserve">Artem M. </w:t>
      </w:r>
      <w:proofErr w:type="spellStart"/>
      <w:r w:rsidRPr="00982D01">
        <w:rPr>
          <w:rFonts w:ascii="Times New Roman" w:hAnsi="Times New Roman" w:cs="Times New Roman"/>
          <w:b/>
          <w:color w:val="000000" w:themeColor="text1"/>
          <w:sz w:val="28"/>
          <w:szCs w:val="28"/>
          <w:lang w:val="en-US"/>
        </w:rPr>
        <w:t>Skvortsov</w:t>
      </w:r>
      <w:proofErr w:type="spellEnd"/>
    </w:p>
    <w:p w14:paraId="558C83EE" w14:textId="77777777" w:rsidR="009E53B4" w:rsidRPr="00982D01" w:rsidRDefault="009E53B4" w:rsidP="009E53B4">
      <w:pPr>
        <w:spacing w:line="360" w:lineRule="auto"/>
        <w:ind w:firstLine="709"/>
        <w:contextualSpacing/>
        <w:jc w:val="center"/>
        <w:rPr>
          <w:rFonts w:ascii="Times New Roman" w:hAnsi="Times New Roman" w:cs="Times New Roman"/>
          <w:b/>
          <w:color w:val="000000" w:themeColor="text1"/>
          <w:sz w:val="28"/>
          <w:szCs w:val="28"/>
          <w:lang w:val="en-US"/>
        </w:rPr>
      </w:pPr>
      <w:r w:rsidRPr="00982D01">
        <w:rPr>
          <w:rFonts w:ascii="Times New Roman" w:hAnsi="Times New Roman" w:cs="Times New Roman"/>
          <w:b/>
          <w:color w:val="000000" w:themeColor="text1"/>
          <w:sz w:val="28"/>
          <w:szCs w:val="28"/>
          <w:lang w:val="en-US"/>
        </w:rPr>
        <w:t>TITLES OF THE EMPERORS OF THE LATE ROMAN EMPIRE (LATE III–MID V CENTURIES)</w:t>
      </w:r>
    </w:p>
    <w:p w14:paraId="0AAE3468" w14:textId="77777777" w:rsidR="009E53B4" w:rsidRPr="00982D01" w:rsidRDefault="009E53B4" w:rsidP="009E53B4">
      <w:pPr>
        <w:spacing w:line="360" w:lineRule="auto"/>
        <w:ind w:firstLine="709"/>
        <w:contextualSpacing/>
        <w:jc w:val="both"/>
        <w:rPr>
          <w:rFonts w:ascii="Times New Roman" w:hAnsi="Times New Roman" w:cs="Times New Roman"/>
          <w:color w:val="000000" w:themeColor="text1"/>
          <w:sz w:val="28"/>
          <w:szCs w:val="28"/>
          <w:lang w:val="en-US"/>
        </w:rPr>
      </w:pPr>
      <w:r w:rsidRPr="00982D01">
        <w:rPr>
          <w:rFonts w:ascii="Times New Roman" w:hAnsi="Times New Roman" w:cs="Times New Roman"/>
          <w:color w:val="000000" w:themeColor="text1"/>
          <w:sz w:val="28"/>
          <w:szCs w:val="28"/>
          <w:lang w:val="en-US"/>
        </w:rPr>
        <w:t>In recent years, a number of researchers have paid increased attention to the phenomena directly related to the sociocultural mode of ruling. However, in the domestic historiography only the Middle Ages (</w:t>
      </w:r>
      <w:proofErr w:type="gramStart"/>
      <w:r w:rsidRPr="00982D01">
        <w:rPr>
          <w:rFonts w:ascii="Times New Roman" w:hAnsi="Times New Roman" w:cs="Times New Roman"/>
          <w:color w:val="000000" w:themeColor="text1"/>
          <w:sz w:val="28"/>
          <w:szCs w:val="28"/>
          <w:lang w:val="en-US"/>
        </w:rPr>
        <w:t>e.g.</w:t>
      </w:r>
      <w:proofErr w:type="gramEnd"/>
      <w:r w:rsidRPr="00982D01">
        <w:rPr>
          <w:rFonts w:ascii="Times New Roman" w:hAnsi="Times New Roman" w:cs="Times New Roman"/>
          <w:color w:val="000000" w:themeColor="text1"/>
          <w:sz w:val="28"/>
          <w:szCs w:val="28"/>
          <w:lang w:val="en-US"/>
        </w:rPr>
        <w:t xml:space="preserve"> </w:t>
      </w:r>
      <w:proofErr w:type="spellStart"/>
      <w:r w:rsidRPr="00982D01">
        <w:rPr>
          <w:rFonts w:ascii="Times New Roman" w:hAnsi="Times New Roman" w:cs="Times New Roman"/>
          <w:color w:val="000000" w:themeColor="text1"/>
          <w:sz w:val="28"/>
          <w:szCs w:val="28"/>
          <w:lang w:val="en-US"/>
        </w:rPr>
        <w:t>Boitsov</w:t>
      </w:r>
      <w:proofErr w:type="spellEnd"/>
      <w:r w:rsidRPr="00982D01">
        <w:rPr>
          <w:rFonts w:ascii="Times New Roman" w:hAnsi="Times New Roman" w:cs="Times New Roman"/>
          <w:color w:val="000000" w:themeColor="text1"/>
          <w:sz w:val="28"/>
          <w:szCs w:val="28"/>
          <w:lang w:val="en-US"/>
        </w:rPr>
        <w:t xml:space="preserve">, </w:t>
      </w:r>
      <w:proofErr w:type="spellStart"/>
      <w:r w:rsidRPr="00982D01">
        <w:rPr>
          <w:rFonts w:ascii="Times New Roman" w:hAnsi="Times New Roman" w:cs="Times New Roman"/>
          <w:color w:val="000000" w:themeColor="text1"/>
          <w:sz w:val="28"/>
          <w:szCs w:val="28"/>
          <w:lang w:val="en-US"/>
        </w:rPr>
        <w:t>Polskaya</w:t>
      </w:r>
      <w:proofErr w:type="spellEnd"/>
      <w:r w:rsidRPr="00982D01">
        <w:rPr>
          <w:rFonts w:ascii="Times New Roman" w:hAnsi="Times New Roman" w:cs="Times New Roman"/>
          <w:color w:val="000000" w:themeColor="text1"/>
          <w:sz w:val="28"/>
          <w:szCs w:val="28"/>
          <w:lang w:val="en-US"/>
        </w:rPr>
        <w:t xml:space="preserve">, </w:t>
      </w:r>
      <w:proofErr w:type="spellStart"/>
      <w:r w:rsidRPr="00982D01">
        <w:rPr>
          <w:rFonts w:ascii="Times New Roman" w:hAnsi="Times New Roman" w:cs="Times New Roman"/>
          <w:color w:val="000000" w:themeColor="text1"/>
          <w:sz w:val="28"/>
          <w:szCs w:val="28"/>
          <w:lang w:val="en-US"/>
        </w:rPr>
        <w:t>Voskoboynikov</w:t>
      </w:r>
      <w:proofErr w:type="spellEnd"/>
      <w:r w:rsidRPr="00982D01">
        <w:rPr>
          <w:rFonts w:ascii="Times New Roman" w:hAnsi="Times New Roman" w:cs="Times New Roman"/>
          <w:color w:val="000000" w:themeColor="text1"/>
          <w:sz w:val="28"/>
          <w:szCs w:val="28"/>
          <w:lang w:val="en-US"/>
        </w:rPr>
        <w:t xml:space="preserve">, </w:t>
      </w:r>
      <w:proofErr w:type="spellStart"/>
      <w:r w:rsidRPr="00982D01">
        <w:rPr>
          <w:rFonts w:ascii="Times New Roman" w:hAnsi="Times New Roman" w:cs="Times New Roman"/>
          <w:color w:val="000000" w:themeColor="text1"/>
          <w:sz w:val="28"/>
          <w:szCs w:val="28"/>
          <w:lang w:val="en-US"/>
        </w:rPr>
        <w:t>Khachaturyan</w:t>
      </w:r>
      <w:proofErr w:type="spellEnd"/>
      <w:r w:rsidRPr="00982D01">
        <w:rPr>
          <w:rFonts w:ascii="Times New Roman" w:hAnsi="Times New Roman" w:cs="Times New Roman"/>
          <w:color w:val="000000" w:themeColor="text1"/>
          <w:sz w:val="28"/>
          <w:szCs w:val="28"/>
          <w:lang w:val="en-US"/>
        </w:rPr>
        <w:t>) are closely studied in this aspect, while antiquity remains without researchers' attention, although it is the basis of the formation of medieval monarchies. Moreover, modern historians developing the concept of "Late Antiquity" originally focused their attention on the cultural, religious and social spheres of Late Antique society, while they were little interested in the political and institutional history of the Late Roman Empire, and accordingly there was a lack of research on these issues. Consideration of the titles of the Roman emperor allows us to bridge the mentioned gaps observed in historiography.</w:t>
      </w:r>
    </w:p>
    <w:p w14:paraId="581D1F52" w14:textId="77777777" w:rsidR="009E53B4" w:rsidRPr="00982D01" w:rsidRDefault="009E53B4" w:rsidP="009E53B4">
      <w:pPr>
        <w:spacing w:line="360" w:lineRule="auto"/>
        <w:ind w:firstLine="709"/>
        <w:contextualSpacing/>
        <w:jc w:val="both"/>
        <w:rPr>
          <w:rFonts w:ascii="Times New Roman" w:hAnsi="Times New Roman" w:cs="Times New Roman"/>
          <w:color w:val="000000" w:themeColor="text1"/>
          <w:sz w:val="28"/>
          <w:szCs w:val="28"/>
          <w:lang w:val="en-US"/>
        </w:rPr>
      </w:pPr>
      <w:r w:rsidRPr="00982D01">
        <w:rPr>
          <w:rFonts w:ascii="Times New Roman" w:hAnsi="Times New Roman" w:cs="Times New Roman"/>
          <w:color w:val="000000" w:themeColor="text1"/>
          <w:sz w:val="28"/>
          <w:szCs w:val="28"/>
          <w:lang w:val="en-US"/>
        </w:rPr>
        <w:t xml:space="preserve">Based on the analysis of a set of numismatic and epigraphic sources dating from the 3rd to 5th centuries, the author shows changes in the titles of Roman emperors during this period. In particular, a conclusion is made about the gradual disappearance of the title imperator, which already under the heirs of Constantine almost ceased to be used. At the same time the main title becomes dominus </w:t>
      </w:r>
      <w:proofErr w:type="spellStart"/>
      <w:r w:rsidRPr="00982D01">
        <w:rPr>
          <w:rFonts w:ascii="Times New Roman" w:hAnsi="Times New Roman" w:cs="Times New Roman"/>
          <w:color w:val="000000" w:themeColor="text1"/>
          <w:sz w:val="28"/>
          <w:szCs w:val="28"/>
          <w:lang w:val="en-US"/>
        </w:rPr>
        <w:t>noster</w:t>
      </w:r>
      <w:proofErr w:type="spellEnd"/>
      <w:r w:rsidRPr="00982D01">
        <w:rPr>
          <w:rFonts w:ascii="Times New Roman" w:hAnsi="Times New Roman" w:cs="Times New Roman"/>
          <w:color w:val="000000" w:themeColor="text1"/>
          <w:sz w:val="28"/>
          <w:szCs w:val="28"/>
          <w:lang w:val="en-US"/>
        </w:rPr>
        <w:t xml:space="preserve">, which was gradually included in the official name since the emperors of the III c. There is also a gradual disappearance of victory acclamations, epithets </w:t>
      </w:r>
      <w:proofErr w:type="spellStart"/>
      <w:r w:rsidRPr="00982D01">
        <w:rPr>
          <w:rFonts w:ascii="Times New Roman" w:hAnsi="Times New Roman" w:cs="Times New Roman"/>
          <w:color w:val="000000" w:themeColor="text1"/>
          <w:sz w:val="28"/>
          <w:szCs w:val="28"/>
          <w:lang w:val="en-US"/>
        </w:rPr>
        <w:t>pius</w:t>
      </w:r>
      <w:proofErr w:type="spellEnd"/>
      <w:r w:rsidRPr="00982D01">
        <w:rPr>
          <w:rFonts w:ascii="Times New Roman" w:hAnsi="Times New Roman" w:cs="Times New Roman"/>
          <w:color w:val="000000" w:themeColor="text1"/>
          <w:sz w:val="28"/>
          <w:szCs w:val="28"/>
          <w:lang w:val="en-US"/>
        </w:rPr>
        <w:t xml:space="preserve"> </w:t>
      </w:r>
      <w:proofErr w:type="spellStart"/>
      <w:r w:rsidRPr="00982D01">
        <w:rPr>
          <w:rFonts w:ascii="Times New Roman" w:hAnsi="Times New Roman" w:cs="Times New Roman"/>
          <w:color w:val="000000" w:themeColor="text1"/>
          <w:sz w:val="28"/>
          <w:szCs w:val="28"/>
          <w:lang w:val="en-US"/>
        </w:rPr>
        <w:t>felix</w:t>
      </w:r>
      <w:proofErr w:type="spellEnd"/>
      <w:r w:rsidRPr="00982D01">
        <w:rPr>
          <w:rFonts w:ascii="Times New Roman" w:hAnsi="Times New Roman" w:cs="Times New Roman"/>
          <w:color w:val="000000" w:themeColor="text1"/>
          <w:sz w:val="28"/>
          <w:szCs w:val="28"/>
          <w:lang w:val="en-US"/>
        </w:rPr>
        <w:t xml:space="preserve"> </w:t>
      </w:r>
      <w:proofErr w:type="spellStart"/>
      <w:r w:rsidRPr="00982D01">
        <w:rPr>
          <w:rFonts w:ascii="Times New Roman" w:hAnsi="Times New Roman" w:cs="Times New Roman"/>
          <w:color w:val="000000" w:themeColor="text1"/>
          <w:sz w:val="28"/>
          <w:szCs w:val="28"/>
          <w:lang w:val="en-US"/>
        </w:rPr>
        <w:t>invictus</w:t>
      </w:r>
      <w:proofErr w:type="spellEnd"/>
      <w:r w:rsidRPr="00982D01">
        <w:rPr>
          <w:rFonts w:ascii="Times New Roman" w:hAnsi="Times New Roman" w:cs="Times New Roman"/>
          <w:color w:val="000000" w:themeColor="text1"/>
          <w:sz w:val="28"/>
          <w:szCs w:val="28"/>
          <w:lang w:val="en-US"/>
        </w:rPr>
        <w:t xml:space="preserve">, references to republican posts, and the title Caesar. However, we observe the appearance of the word victor et triumphator and the addition of the epithets semper or </w:t>
      </w:r>
      <w:proofErr w:type="spellStart"/>
      <w:r w:rsidRPr="00982D01">
        <w:rPr>
          <w:rFonts w:ascii="Times New Roman" w:hAnsi="Times New Roman" w:cs="Times New Roman"/>
          <w:color w:val="000000" w:themeColor="text1"/>
          <w:sz w:val="28"/>
          <w:szCs w:val="28"/>
          <w:lang w:val="en-US"/>
        </w:rPr>
        <w:t>perpetuus</w:t>
      </w:r>
      <w:proofErr w:type="spellEnd"/>
      <w:r w:rsidRPr="00982D01">
        <w:rPr>
          <w:rFonts w:ascii="Times New Roman" w:hAnsi="Times New Roman" w:cs="Times New Roman"/>
          <w:color w:val="000000" w:themeColor="text1"/>
          <w:sz w:val="28"/>
          <w:szCs w:val="28"/>
          <w:lang w:val="en-US"/>
        </w:rPr>
        <w:t xml:space="preserve"> to the title </w:t>
      </w:r>
      <w:proofErr w:type="spellStart"/>
      <w:r w:rsidRPr="00982D01">
        <w:rPr>
          <w:rFonts w:ascii="Times New Roman" w:hAnsi="Times New Roman" w:cs="Times New Roman"/>
          <w:color w:val="000000" w:themeColor="text1"/>
          <w:sz w:val="28"/>
          <w:szCs w:val="28"/>
          <w:lang w:val="en-US"/>
        </w:rPr>
        <w:t>augustus</w:t>
      </w:r>
      <w:proofErr w:type="spellEnd"/>
      <w:r w:rsidRPr="00982D01">
        <w:rPr>
          <w:rFonts w:ascii="Times New Roman" w:hAnsi="Times New Roman" w:cs="Times New Roman"/>
          <w:color w:val="000000" w:themeColor="text1"/>
          <w:sz w:val="28"/>
          <w:szCs w:val="28"/>
          <w:lang w:val="en-US"/>
        </w:rPr>
        <w:t xml:space="preserve">. </w:t>
      </w:r>
    </w:p>
    <w:p w14:paraId="704766B3" w14:textId="77777777" w:rsidR="009E53B4" w:rsidRPr="00982D01" w:rsidRDefault="009E53B4" w:rsidP="009E53B4">
      <w:pPr>
        <w:spacing w:line="360" w:lineRule="auto"/>
        <w:ind w:firstLine="709"/>
        <w:contextualSpacing/>
        <w:jc w:val="both"/>
        <w:rPr>
          <w:rFonts w:ascii="Times New Roman" w:hAnsi="Times New Roman" w:cs="Times New Roman"/>
          <w:color w:val="000000" w:themeColor="text1"/>
          <w:sz w:val="28"/>
          <w:szCs w:val="28"/>
          <w:lang w:val="en-US"/>
        </w:rPr>
      </w:pPr>
      <w:r w:rsidRPr="00982D01">
        <w:rPr>
          <w:rFonts w:ascii="Times New Roman" w:hAnsi="Times New Roman" w:cs="Times New Roman"/>
          <w:color w:val="000000" w:themeColor="text1"/>
          <w:sz w:val="28"/>
          <w:szCs w:val="28"/>
          <w:lang w:val="en-US"/>
        </w:rPr>
        <w:lastRenderedPageBreak/>
        <w:t xml:space="preserve">These changes in the titles are explained by the shift in emphasis from the exaltation of the emperor's personality with the help of specific epithets to emphasizing the impersonal and absolute character of imperial power, expressed in the theatrical rituals of Late Antiquity. </w:t>
      </w:r>
    </w:p>
    <w:p w14:paraId="7E3BE007" w14:textId="77777777" w:rsidR="009E53B4" w:rsidRPr="00982D01" w:rsidRDefault="009E53B4" w:rsidP="009E53B4">
      <w:pPr>
        <w:spacing w:line="360" w:lineRule="auto"/>
        <w:ind w:firstLine="709"/>
        <w:contextualSpacing/>
        <w:jc w:val="both"/>
        <w:rPr>
          <w:rFonts w:ascii="Times New Roman" w:hAnsi="Times New Roman" w:cs="Times New Roman"/>
          <w:color w:val="000000" w:themeColor="text1"/>
          <w:sz w:val="28"/>
          <w:szCs w:val="28"/>
          <w:lang w:val="en-US"/>
        </w:rPr>
      </w:pPr>
      <w:r w:rsidRPr="00982D01">
        <w:rPr>
          <w:rFonts w:ascii="Times New Roman" w:hAnsi="Times New Roman" w:cs="Times New Roman"/>
          <w:b/>
          <w:bCs/>
          <w:color w:val="000000" w:themeColor="text1"/>
          <w:sz w:val="28"/>
          <w:szCs w:val="28"/>
          <w:lang w:val="en-US"/>
        </w:rPr>
        <w:t>Key words:</w:t>
      </w:r>
      <w:r w:rsidRPr="00982D01">
        <w:rPr>
          <w:rFonts w:ascii="Times New Roman" w:hAnsi="Times New Roman" w:cs="Times New Roman"/>
          <w:color w:val="000000" w:themeColor="text1"/>
          <w:sz w:val="28"/>
          <w:szCs w:val="28"/>
          <w:lang w:val="en-US"/>
        </w:rPr>
        <w:t xml:space="preserve"> Late Antiquity, titles of Roman Emperors, Late Roman Empire, Representation of Power, Political Imagology, </w:t>
      </w:r>
      <w:proofErr w:type="spellStart"/>
      <w:r w:rsidRPr="00982D01">
        <w:rPr>
          <w:rFonts w:ascii="Times New Roman" w:hAnsi="Times New Roman" w:cs="Times New Roman"/>
          <w:color w:val="000000" w:themeColor="text1"/>
          <w:sz w:val="28"/>
          <w:szCs w:val="28"/>
          <w:lang w:val="en-US"/>
        </w:rPr>
        <w:t>Titulature</w:t>
      </w:r>
      <w:proofErr w:type="spellEnd"/>
      <w:r w:rsidRPr="00982D01">
        <w:rPr>
          <w:rFonts w:ascii="Times New Roman" w:hAnsi="Times New Roman" w:cs="Times New Roman"/>
          <w:color w:val="000000" w:themeColor="text1"/>
          <w:sz w:val="28"/>
          <w:szCs w:val="28"/>
          <w:lang w:val="en-US"/>
        </w:rPr>
        <w:t>.</w:t>
      </w:r>
    </w:p>
    <w:p w14:paraId="2E92A0E5" w14:textId="77777777" w:rsidR="009E53B4" w:rsidRDefault="009E53B4" w:rsidP="009E53B4">
      <w:pPr>
        <w:spacing w:after="0" w:line="360" w:lineRule="auto"/>
        <w:ind w:firstLine="709"/>
        <w:rPr>
          <w:rFonts w:ascii="Times New Roman" w:hAnsi="Times New Roman" w:cs="Times New Roman"/>
          <w:b/>
          <w:bCs/>
          <w:sz w:val="28"/>
          <w:szCs w:val="28"/>
        </w:rPr>
      </w:pPr>
    </w:p>
    <w:p w14:paraId="70A96F32" w14:textId="3490B593" w:rsidR="009E53B4" w:rsidRPr="00982D01" w:rsidRDefault="009E53B4" w:rsidP="009E53B4">
      <w:pPr>
        <w:spacing w:after="0" w:line="360" w:lineRule="auto"/>
        <w:ind w:firstLine="709"/>
        <w:rPr>
          <w:rFonts w:ascii="Times New Roman" w:hAnsi="Times New Roman" w:cs="Times New Roman"/>
          <w:b/>
          <w:bCs/>
          <w:sz w:val="28"/>
          <w:szCs w:val="28"/>
        </w:rPr>
      </w:pPr>
      <w:r w:rsidRPr="00982D01">
        <w:rPr>
          <w:rFonts w:ascii="Times New Roman" w:hAnsi="Times New Roman" w:cs="Times New Roman"/>
          <w:b/>
          <w:bCs/>
          <w:sz w:val="28"/>
          <w:szCs w:val="28"/>
        </w:rPr>
        <w:t>УДК 94 (470+571) “18”</w:t>
      </w:r>
    </w:p>
    <w:p w14:paraId="2F1BC155" w14:textId="77777777" w:rsidR="009E53B4" w:rsidRDefault="009E53B4" w:rsidP="009E53B4">
      <w:pPr>
        <w:spacing w:after="0" w:line="360" w:lineRule="auto"/>
        <w:ind w:firstLine="709"/>
        <w:jc w:val="right"/>
        <w:rPr>
          <w:rFonts w:ascii="Times New Roman" w:eastAsia="Calibri" w:hAnsi="Times New Roman" w:cs="Times New Roman"/>
          <w:b/>
          <w:bCs/>
          <w:sz w:val="28"/>
          <w:szCs w:val="28"/>
        </w:rPr>
      </w:pPr>
      <w:r w:rsidRPr="00D03F97">
        <w:rPr>
          <w:rFonts w:ascii="Times New Roman" w:eastAsia="Calibri" w:hAnsi="Times New Roman" w:cs="Times New Roman"/>
          <w:b/>
          <w:bCs/>
          <w:sz w:val="28"/>
          <w:szCs w:val="28"/>
        </w:rPr>
        <w:t>http://doi.org/10.37493/2409-1030.2022.2.7</w:t>
      </w:r>
    </w:p>
    <w:p w14:paraId="56D4B092" w14:textId="77777777" w:rsidR="009E53B4" w:rsidRPr="00982D01" w:rsidRDefault="009E53B4" w:rsidP="009E53B4">
      <w:pPr>
        <w:spacing w:after="0" w:line="360" w:lineRule="auto"/>
        <w:ind w:firstLine="709"/>
        <w:jc w:val="right"/>
        <w:rPr>
          <w:rFonts w:ascii="Times New Roman" w:hAnsi="Times New Roman" w:cs="Times New Roman"/>
          <w:b/>
          <w:bCs/>
          <w:sz w:val="28"/>
          <w:szCs w:val="28"/>
        </w:rPr>
      </w:pPr>
      <w:r w:rsidRPr="00982D01">
        <w:rPr>
          <w:rFonts w:ascii="Times New Roman" w:eastAsia="Calibri" w:hAnsi="Times New Roman" w:cs="Times New Roman"/>
          <w:b/>
          <w:bCs/>
          <w:sz w:val="28"/>
          <w:szCs w:val="28"/>
        </w:rPr>
        <w:t xml:space="preserve">Е.В. Кузнецова </w:t>
      </w:r>
    </w:p>
    <w:p w14:paraId="3886B0F3" w14:textId="77777777" w:rsidR="009E53B4" w:rsidRPr="00982D01" w:rsidRDefault="009E53B4" w:rsidP="009E53B4">
      <w:pPr>
        <w:spacing w:after="0" w:line="360" w:lineRule="auto"/>
        <w:ind w:firstLine="709"/>
        <w:jc w:val="center"/>
        <w:rPr>
          <w:rFonts w:ascii="Times New Roman" w:hAnsi="Times New Roman" w:cs="Times New Roman"/>
          <w:b/>
          <w:sz w:val="28"/>
          <w:szCs w:val="28"/>
        </w:rPr>
      </w:pPr>
      <w:r w:rsidRPr="00982D01">
        <w:rPr>
          <w:rFonts w:ascii="Times New Roman" w:hAnsi="Times New Roman" w:cs="Times New Roman"/>
          <w:b/>
          <w:sz w:val="28"/>
          <w:szCs w:val="28"/>
        </w:rPr>
        <w:t>К ВОПРОСУ О ПРИЧИНАХ УЖЕСТОЧЕНИЯ ПОЛИТИКИ РОССИЙСКОЙ ИМПЕРИИ НА СЕВЕРНОМ КАВКАЗЕ В ПЕРВОЙ ТРЕТИ XIX ВЕКА</w:t>
      </w:r>
    </w:p>
    <w:p w14:paraId="223F20F0" w14:textId="77777777" w:rsidR="009E53B4" w:rsidRPr="00982D01" w:rsidRDefault="009E53B4" w:rsidP="009E53B4">
      <w:pPr>
        <w:spacing w:after="0" w:line="360" w:lineRule="auto"/>
        <w:ind w:firstLine="709"/>
        <w:jc w:val="both"/>
        <w:rPr>
          <w:rFonts w:ascii="Times New Roman" w:hAnsi="Times New Roman" w:cs="Times New Roman"/>
          <w:sz w:val="28"/>
          <w:szCs w:val="28"/>
        </w:rPr>
      </w:pPr>
      <w:r w:rsidRPr="00982D01">
        <w:rPr>
          <w:rFonts w:ascii="Times New Roman" w:hAnsi="Times New Roman" w:cs="Times New Roman"/>
          <w:sz w:val="28"/>
          <w:szCs w:val="28"/>
        </w:rPr>
        <w:t xml:space="preserve">Автор статьи исследует как российская политика на Северном Кавказе в первые десятилетия </w:t>
      </w:r>
      <w:r w:rsidRPr="00982D01">
        <w:rPr>
          <w:rFonts w:ascii="Times New Roman" w:hAnsi="Times New Roman" w:cs="Times New Roman"/>
          <w:sz w:val="28"/>
          <w:szCs w:val="28"/>
          <w:lang w:val="en-US"/>
        </w:rPr>
        <w:t>XIX</w:t>
      </w:r>
      <w:r w:rsidRPr="00982D01">
        <w:rPr>
          <w:rFonts w:ascii="Times New Roman" w:hAnsi="Times New Roman" w:cs="Times New Roman"/>
          <w:sz w:val="28"/>
          <w:szCs w:val="28"/>
        </w:rPr>
        <w:t xml:space="preserve"> в. постепенно ужесточалась, и силовые акции становились главным аргументом во взаимоотношениях с местными народами. Объяснялось это разочарованием в способности горцев соблюсти достигнутые мирные договорённости и отказаться от набегов, направленных против российских подданных. Автор полагает, что изменение геополитической ситуации после присоединения Грузии к России заставляло ускорить процесс распространения на горские сообщества правовой системы империи, что вызвало ожесточённое сопротивление не желавших отречься от своих традиций туземцев. В свою очередь царская администрация была не склонна дальше затягивать неопределённый статус новых подданных, формально считавшихся такими же подвластными государю людьми, как и остальные жители России. Ситуация обострялась конфессиональной конфронтацией, которая позволяла идеологически обосновать враждебность противостоящей стороны её иными религиозными предпочтениями. Предполагалось с помощью армии разгромить силы сопротивления и, установив блокаду, вынудить горцев прекратить вооружённую борьбу. </w:t>
      </w:r>
      <w:r w:rsidRPr="00982D01">
        <w:rPr>
          <w:rFonts w:ascii="Times New Roman" w:hAnsi="Times New Roman" w:cs="Times New Roman"/>
          <w:sz w:val="28"/>
          <w:szCs w:val="28"/>
        </w:rPr>
        <w:lastRenderedPageBreak/>
        <w:t xml:space="preserve">Сторонниками таких методов были весьма яркие и талантливые генералы П.Д. Цицианов, А.П. Ермолов. Они осуществляли вторжения вглубь горских территорий, строили линию крепостей, с помощью которых пытались пресечь нападения отрядов противника на российские поселения. Но, как показал опыт, ожидаемого результата достичь не удалось. Горские общества всё больше консолидировались и совместно пытались противодействовать имперским властям как угрозе своему образу жизни. Имеющиеся силы и средства оказались явно недостаточными, чтобы подчинить себе общества, привычные к военным тяготам и умевшие стойко обходиться минимумом материальных благ. </w:t>
      </w:r>
    </w:p>
    <w:p w14:paraId="6ADF55AD" w14:textId="77777777" w:rsidR="009E53B4" w:rsidRPr="00D03F97" w:rsidRDefault="009E53B4" w:rsidP="009E53B4">
      <w:pPr>
        <w:spacing w:after="0" w:line="360" w:lineRule="auto"/>
        <w:ind w:firstLine="709"/>
        <w:jc w:val="both"/>
        <w:rPr>
          <w:rFonts w:ascii="Times New Roman" w:hAnsi="Times New Roman" w:cs="Times New Roman"/>
          <w:sz w:val="28"/>
          <w:szCs w:val="28"/>
        </w:rPr>
      </w:pPr>
      <w:r w:rsidRPr="00982D01">
        <w:rPr>
          <w:rFonts w:ascii="Times New Roman" w:hAnsi="Times New Roman" w:cs="Times New Roman"/>
          <w:b/>
          <w:sz w:val="28"/>
          <w:szCs w:val="28"/>
        </w:rPr>
        <w:t>Ключевые слова:</w:t>
      </w:r>
      <w:r w:rsidRPr="00982D01">
        <w:rPr>
          <w:rFonts w:ascii="Times New Roman" w:hAnsi="Times New Roman" w:cs="Times New Roman"/>
          <w:sz w:val="28"/>
          <w:szCs w:val="28"/>
        </w:rPr>
        <w:t xml:space="preserve"> Империя, горцы, набеги, политика, традиции, присяги, дипломатия</w:t>
      </w:r>
      <w:r w:rsidRPr="00D03F97">
        <w:rPr>
          <w:rFonts w:ascii="Times New Roman" w:hAnsi="Times New Roman" w:cs="Times New Roman"/>
          <w:sz w:val="28"/>
          <w:szCs w:val="28"/>
        </w:rPr>
        <w:t>.</w:t>
      </w:r>
    </w:p>
    <w:p w14:paraId="14E6BA6C" w14:textId="77777777" w:rsidR="009E53B4" w:rsidRPr="00982D01" w:rsidRDefault="009E53B4" w:rsidP="009E53B4">
      <w:pPr>
        <w:spacing w:after="0" w:line="360" w:lineRule="auto"/>
        <w:ind w:firstLine="709"/>
        <w:jc w:val="right"/>
        <w:rPr>
          <w:rFonts w:ascii="Times New Roman" w:hAnsi="Times New Roman" w:cs="Times New Roman"/>
          <w:b/>
          <w:sz w:val="28"/>
          <w:szCs w:val="28"/>
          <w:lang w:val="en-US"/>
        </w:rPr>
      </w:pPr>
      <w:r w:rsidRPr="00982D01">
        <w:rPr>
          <w:rFonts w:ascii="Times New Roman" w:hAnsi="Times New Roman" w:cs="Times New Roman"/>
          <w:b/>
          <w:sz w:val="28"/>
          <w:szCs w:val="28"/>
          <w:lang w:val="en-US"/>
        </w:rPr>
        <w:t>Ekaterina V. Kuznetsova</w:t>
      </w:r>
    </w:p>
    <w:p w14:paraId="728A7C5A" w14:textId="77777777" w:rsidR="009E53B4" w:rsidRPr="00982D01" w:rsidRDefault="009E53B4" w:rsidP="009E53B4">
      <w:pPr>
        <w:spacing w:after="0" w:line="360" w:lineRule="auto"/>
        <w:ind w:firstLine="709"/>
        <w:jc w:val="center"/>
        <w:rPr>
          <w:rFonts w:ascii="Times New Roman" w:hAnsi="Times New Roman" w:cs="Times New Roman"/>
          <w:b/>
          <w:sz w:val="28"/>
          <w:szCs w:val="28"/>
          <w:lang w:val="en-US"/>
        </w:rPr>
      </w:pPr>
      <w:r w:rsidRPr="00982D01">
        <w:rPr>
          <w:rFonts w:ascii="Times New Roman" w:hAnsi="Times New Roman" w:cs="Times New Roman"/>
          <w:b/>
          <w:sz w:val="28"/>
          <w:szCs w:val="28"/>
          <w:lang w:val="en-US"/>
        </w:rPr>
        <w:t>ON THE REASONS OF TIGHTENING THE POLICY OF THE RUSSIAN EMPIRE IN THE NORTH CAUCASUS IN THE FIRST THIRD OF THE XIX CENTURY</w:t>
      </w:r>
    </w:p>
    <w:p w14:paraId="45D16E99" w14:textId="77777777" w:rsidR="009E53B4" w:rsidRPr="00982D01" w:rsidRDefault="009E53B4" w:rsidP="009E53B4">
      <w:pPr>
        <w:spacing w:after="0" w:line="360" w:lineRule="auto"/>
        <w:ind w:firstLine="709"/>
        <w:jc w:val="both"/>
        <w:rPr>
          <w:rFonts w:ascii="Times New Roman" w:hAnsi="Times New Roman" w:cs="Times New Roman"/>
          <w:sz w:val="28"/>
          <w:szCs w:val="28"/>
          <w:lang w:val="en-US"/>
        </w:rPr>
      </w:pPr>
      <w:r w:rsidRPr="00982D01">
        <w:rPr>
          <w:rFonts w:ascii="Times New Roman" w:hAnsi="Times New Roman" w:cs="Times New Roman"/>
          <w:sz w:val="28"/>
          <w:szCs w:val="28"/>
          <w:lang w:val="en-US"/>
        </w:rPr>
        <w:t xml:space="preserve">The author researches Russian policy in the North Caucasus in the first decades of the 19th century, and how it gradually became tougher, and violent actions became the main argument in relations with local peoples. It was explained by disappointment in the ability of the highlanders to comply with the peace agreements reached and to abandon raids directed against Russian subjects. The author supposes the change in the geopolitical situation after the annexation of Georgia to Russia forced to accelerate the process of spreading the legal system of the empire to the mountain communities, which caused fierce resistance from the natives who did not want to renounce their traditions. In turn, the tsarist administration was not inclined to further delay the indefinite status of new subjects, who were formally considered the same people subject to the sovereign, like the rest of the inhabitants of Russia. The situation was aggravated by confessional confrontation, which made it possible to ideologically substantiate the hostility of the opposing side by its other religious preferences. It was supposed to crush the </w:t>
      </w:r>
      <w:r w:rsidRPr="00982D01">
        <w:rPr>
          <w:rFonts w:ascii="Times New Roman" w:hAnsi="Times New Roman" w:cs="Times New Roman"/>
          <w:sz w:val="28"/>
          <w:szCs w:val="28"/>
          <w:lang w:val="en-US"/>
        </w:rPr>
        <w:lastRenderedPageBreak/>
        <w:t xml:space="preserve">resistance forces with the help of the army and, by establishing a blockade, force the highlanders to stop the armed struggle. The supporters of such methods were very bright and talented generals P.D. </w:t>
      </w:r>
      <w:proofErr w:type="spellStart"/>
      <w:r w:rsidRPr="00982D01">
        <w:rPr>
          <w:rFonts w:ascii="Times New Roman" w:hAnsi="Times New Roman" w:cs="Times New Roman"/>
          <w:sz w:val="28"/>
          <w:szCs w:val="28"/>
          <w:lang w:val="en-US"/>
        </w:rPr>
        <w:t>Tsitsianov</w:t>
      </w:r>
      <w:proofErr w:type="spellEnd"/>
      <w:r w:rsidRPr="00982D01">
        <w:rPr>
          <w:rFonts w:ascii="Times New Roman" w:hAnsi="Times New Roman" w:cs="Times New Roman"/>
          <w:sz w:val="28"/>
          <w:szCs w:val="28"/>
          <w:lang w:val="en-US"/>
        </w:rPr>
        <w:t xml:space="preserve">, A.P. </w:t>
      </w:r>
      <w:proofErr w:type="spellStart"/>
      <w:r w:rsidRPr="00982D01">
        <w:rPr>
          <w:rFonts w:ascii="Times New Roman" w:hAnsi="Times New Roman" w:cs="Times New Roman"/>
          <w:sz w:val="28"/>
          <w:szCs w:val="28"/>
          <w:lang w:val="en-US"/>
        </w:rPr>
        <w:t>Ermolov</w:t>
      </w:r>
      <w:proofErr w:type="spellEnd"/>
      <w:r w:rsidRPr="00982D01">
        <w:rPr>
          <w:rFonts w:ascii="Times New Roman" w:hAnsi="Times New Roman" w:cs="Times New Roman"/>
          <w:sz w:val="28"/>
          <w:szCs w:val="28"/>
          <w:lang w:val="en-US"/>
        </w:rPr>
        <w:t>. They carried out incursions deep into mountain territories, built a line of fortresses, with the help of which they tried to stop the attacks of enemy units on Russian settlements. But, as experience has shown, it was not possible to achieve the expected result. Mountain societies increasingly consolidated and jointly tried to oppose the imperial authorities as a threat to their way of life. The available forces and means were clearly insufficient to subjugate societies that were accustomed to military hardships and knew how to steadfastly manage with a minimum of material wealth.</w:t>
      </w:r>
    </w:p>
    <w:p w14:paraId="0E8CBEA0" w14:textId="77777777" w:rsidR="009E53B4" w:rsidRPr="00982D01" w:rsidRDefault="009E53B4" w:rsidP="009E53B4">
      <w:pPr>
        <w:spacing w:after="0" w:line="360" w:lineRule="auto"/>
        <w:ind w:firstLine="709"/>
        <w:jc w:val="both"/>
        <w:rPr>
          <w:rFonts w:ascii="Times New Roman" w:hAnsi="Times New Roman" w:cs="Times New Roman"/>
          <w:sz w:val="28"/>
          <w:szCs w:val="28"/>
          <w:lang w:val="en-US"/>
        </w:rPr>
      </w:pPr>
      <w:r w:rsidRPr="00982D01">
        <w:rPr>
          <w:rFonts w:ascii="Times New Roman" w:hAnsi="Times New Roman" w:cs="Times New Roman"/>
          <w:b/>
          <w:sz w:val="28"/>
          <w:szCs w:val="28"/>
          <w:lang w:val="en-US"/>
        </w:rPr>
        <w:t>Key words:</w:t>
      </w:r>
      <w:r w:rsidRPr="00982D01">
        <w:rPr>
          <w:rFonts w:ascii="Times New Roman" w:hAnsi="Times New Roman" w:cs="Times New Roman"/>
          <w:sz w:val="28"/>
          <w:szCs w:val="28"/>
          <w:lang w:val="en-US"/>
        </w:rPr>
        <w:t xml:space="preserve"> Empire, highlanders, raids, politics, traditions, oaths, diplomacy.</w:t>
      </w:r>
    </w:p>
    <w:p w14:paraId="70D06CB8" w14:textId="77777777" w:rsidR="005007ED" w:rsidRDefault="005007ED" w:rsidP="005007ED">
      <w:pPr>
        <w:autoSpaceDE w:val="0"/>
        <w:autoSpaceDN w:val="0"/>
        <w:adjustRightInd w:val="0"/>
        <w:spacing w:after="0" w:line="360" w:lineRule="auto"/>
        <w:ind w:firstLine="709"/>
        <w:jc w:val="both"/>
        <w:rPr>
          <w:rFonts w:ascii="Times New Roman" w:hAnsi="Times New Roman"/>
          <w:sz w:val="28"/>
          <w:szCs w:val="28"/>
          <w:lang w:val="en-US" w:eastAsia="ru-RU"/>
        </w:rPr>
      </w:pPr>
    </w:p>
    <w:p w14:paraId="48EF4E0C" w14:textId="77777777" w:rsidR="009E53B4" w:rsidRPr="00982D01" w:rsidRDefault="009E53B4" w:rsidP="009E53B4">
      <w:pPr>
        <w:spacing w:after="0" w:line="360" w:lineRule="auto"/>
        <w:rPr>
          <w:rFonts w:ascii="Times New Roman" w:eastAsia="Calibri" w:hAnsi="Times New Roman" w:cs="Times New Roman"/>
          <w:b/>
          <w:bCs/>
          <w:sz w:val="28"/>
          <w:szCs w:val="28"/>
        </w:rPr>
      </w:pPr>
      <w:r w:rsidRPr="00982D01">
        <w:rPr>
          <w:rFonts w:ascii="Times New Roman" w:eastAsia="Calibri" w:hAnsi="Times New Roman" w:cs="Times New Roman"/>
          <w:b/>
          <w:bCs/>
          <w:sz w:val="28"/>
          <w:szCs w:val="28"/>
        </w:rPr>
        <w:t>УДК 94 (470.6) “18”</w:t>
      </w:r>
    </w:p>
    <w:p w14:paraId="7C678A9B" w14:textId="2B3D5EFC" w:rsidR="009E53B4" w:rsidRDefault="009E53B4" w:rsidP="009E53B4">
      <w:pPr>
        <w:spacing w:after="0" w:line="360" w:lineRule="auto"/>
        <w:jc w:val="right"/>
        <w:rPr>
          <w:rFonts w:ascii="Times New Roman" w:eastAsia="Calibri" w:hAnsi="Times New Roman" w:cs="Times New Roman"/>
          <w:b/>
          <w:bCs/>
          <w:sz w:val="28"/>
          <w:szCs w:val="28"/>
        </w:rPr>
      </w:pPr>
      <w:r w:rsidRPr="009E53B4">
        <w:rPr>
          <w:rFonts w:ascii="Times New Roman" w:eastAsia="Calibri" w:hAnsi="Times New Roman" w:cs="Times New Roman"/>
          <w:b/>
          <w:bCs/>
          <w:sz w:val="28"/>
          <w:szCs w:val="28"/>
        </w:rPr>
        <w:t>http://doi.org/10.37493/2409-1030.2022.2.8</w:t>
      </w:r>
    </w:p>
    <w:p w14:paraId="1F91FE26" w14:textId="33CDE218" w:rsidR="009E53B4" w:rsidRPr="00982D01" w:rsidRDefault="009E53B4" w:rsidP="009E53B4">
      <w:pPr>
        <w:spacing w:after="0" w:line="360" w:lineRule="auto"/>
        <w:jc w:val="right"/>
        <w:rPr>
          <w:rFonts w:ascii="Times New Roman" w:eastAsia="Calibri" w:hAnsi="Times New Roman" w:cs="Times New Roman"/>
          <w:b/>
          <w:bCs/>
          <w:sz w:val="28"/>
          <w:szCs w:val="28"/>
        </w:rPr>
      </w:pPr>
      <w:r w:rsidRPr="00982D01">
        <w:rPr>
          <w:rFonts w:ascii="Times New Roman" w:eastAsia="Calibri" w:hAnsi="Times New Roman" w:cs="Times New Roman"/>
          <w:b/>
          <w:bCs/>
          <w:sz w:val="28"/>
          <w:szCs w:val="28"/>
        </w:rPr>
        <w:t xml:space="preserve">С.С. </w:t>
      </w:r>
      <w:proofErr w:type="spellStart"/>
      <w:r w:rsidRPr="00982D01">
        <w:rPr>
          <w:rFonts w:ascii="Times New Roman" w:eastAsia="Calibri" w:hAnsi="Times New Roman" w:cs="Times New Roman"/>
          <w:b/>
          <w:bCs/>
          <w:sz w:val="28"/>
          <w:szCs w:val="28"/>
        </w:rPr>
        <w:t>Лазарян</w:t>
      </w:r>
      <w:proofErr w:type="spellEnd"/>
    </w:p>
    <w:p w14:paraId="3ECFBED6" w14:textId="77777777" w:rsidR="009E53B4" w:rsidRPr="00982D01" w:rsidRDefault="009E53B4" w:rsidP="009E53B4">
      <w:pPr>
        <w:spacing w:after="0" w:line="360" w:lineRule="auto"/>
        <w:jc w:val="center"/>
        <w:rPr>
          <w:rFonts w:ascii="Times New Roman" w:eastAsia="Calibri" w:hAnsi="Times New Roman" w:cs="Times New Roman"/>
          <w:b/>
          <w:bCs/>
          <w:sz w:val="28"/>
          <w:szCs w:val="28"/>
        </w:rPr>
      </w:pPr>
      <w:r w:rsidRPr="00982D01">
        <w:rPr>
          <w:rFonts w:ascii="Times New Roman" w:eastAsia="Calibri" w:hAnsi="Times New Roman" w:cs="Times New Roman"/>
          <w:b/>
          <w:bCs/>
          <w:sz w:val="28"/>
          <w:szCs w:val="28"/>
        </w:rPr>
        <w:t xml:space="preserve">СЕВЕРО-ЗАПАДНЫЙ КАВКАЗ В 30-50-Х ГОДАХ </w:t>
      </w:r>
      <w:r w:rsidRPr="00982D01">
        <w:rPr>
          <w:rFonts w:ascii="Times New Roman" w:eastAsia="Calibri" w:hAnsi="Times New Roman" w:cs="Times New Roman"/>
          <w:b/>
          <w:bCs/>
          <w:sz w:val="28"/>
          <w:szCs w:val="28"/>
          <w:lang w:val="en-US"/>
        </w:rPr>
        <w:t>XIX</w:t>
      </w:r>
      <w:r w:rsidRPr="00982D01">
        <w:rPr>
          <w:rFonts w:ascii="Times New Roman" w:eastAsia="Calibri" w:hAnsi="Times New Roman" w:cs="Times New Roman"/>
          <w:b/>
          <w:bCs/>
          <w:sz w:val="28"/>
          <w:szCs w:val="28"/>
        </w:rPr>
        <w:t xml:space="preserve"> СТОЛЕТИЯ КАК СРЕДСТВО БОРЬБЫ С РОССИЕЙ В ПЛАНАХ ЕЁ ГЕОПОЛИТИЧЕСКИХ ПРОТИВНИКОВ </w:t>
      </w:r>
    </w:p>
    <w:p w14:paraId="42D8F913" w14:textId="77777777" w:rsidR="009E53B4" w:rsidRPr="00982D01" w:rsidRDefault="009E53B4" w:rsidP="009E53B4">
      <w:pPr>
        <w:spacing w:after="0" w:line="360" w:lineRule="auto"/>
        <w:ind w:firstLine="709"/>
        <w:jc w:val="both"/>
        <w:rPr>
          <w:rFonts w:ascii="Times New Roman" w:eastAsia="Calibri" w:hAnsi="Times New Roman" w:cs="Times New Roman"/>
          <w:sz w:val="28"/>
          <w:szCs w:val="28"/>
        </w:rPr>
      </w:pPr>
      <w:r w:rsidRPr="00982D01">
        <w:rPr>
          <w:rFonts w:ascii="Times New Roman" w:eastAsia="Calibri" w:hAnsi="Times New Roman" w:cs="Times New Roman"/>
          <w:sz w:val="28"/>
          <w:szCs w:val="28"/>
        </w:rPr>
        <w:t xml:space="preserve">Главные геополитические противники Российской империи в первой половине </w:t>
      </w:r>
      <w:r w:rsidRPr="00982D01">
        <w:rPr>
          <w:rFonts w:ascii="Times New Roman" w:eastAsia="Calibri" w:hAnsi="Times New Roman" w:cs="Times New Roman"/>
          <w:sz w:val="28"/>
          <w:szCs w:val="28"/>
          <w:lang w:val="en-US"/>
        </w:rPr>
        <w:t>XIX</w:t>
      </w:r>
      <w:r w:rsidRPr="00982D01">
        <w:rPr>
          <w:rFonts w:ascii="Times New Roman" w:eastAsia="Calibri" w:hAnsi="Times New Roman" w:cs="Times New Roman"/>
          <w:sz w:val="28"/>
          <w:szCs w:val="28"/>
        </w:rPr>
        <w:t xml:space="preserve"> века – Англия, Франция и Османская Порта стремились осложнить ситуацию на Северном Кавказе, настраивая местное горское население против русских. Они не только направляли на восточное побережье Черного моря своих агентов и эмиссаров, собиравших там разведывательную информацию, и распространяли антирусские воззвания, но по морю на коммерческих судах доставляли к горцам, непримиримо настроенным к русским, различные товары, вооружение и порох.</w:t>
      </w:r>
    </w:p>
    <w:p w14:paraId="18D825DF" w14:textId="77777777" w:rsidR="009E53B4" w:rsidRPr="00982D01" w:rsidRDefault="009E53B4" w:rsidP="009E53B4">
      <w:pPr>
        <w:spacing w:after="0" w:line="360" w:lineRule="auto"/>
        <w:ind w:firstLine="709"/>
        <w:jc w:val="both"/>
        <w:rPr>
          <w:rFonts w:ascii="Times New Roman" w:eastAsia="Calibri" w:hAnsi="Times New Roman" w:cs="Times New Roman"/>
          <w:sz w:val="28"/>
          <w:szCs w:val="28"/>
        </w:rPr>
      </w:pPr>
      <w:r w:rsidRPr="00982D01">
        <w:rPr>
          <w:rFonts w:ascii="Times New Roman" w:eastAsia="Calibri" w:hAnsi="Times New Roman" w:cs="Times New Roman"/>
          <w:sz w:val="28"/>
          <w:szCs w:val="28"/>
        </w:rPr>
        <w:t xml:space="preserve">Европейские и турецкие агенты убеждали черкесов бороться против русских и обещали им военную поддержку со стороны европейских монархов, которые не признавали права России владеть Черноморским побережьем Кавказа. Настроенные также враждебно к русским поляки-эмигранты вместе </w:t>
      </w:r>
      <w:r w:rsidRPr="00982D01">
        <w:rPr>
          <w:rFonts w:ascii="Times New Roman" w:eastAsia="Calibri" w:hAnsi="Times New Roman" w:cs="Times New Roman"/>
          <w:sz w:val="28"/>
          <w:szCs w:val="28"/>
        </w:rPr>
        <w:lastRenderedPageBreak/>
        <w:t>с европейскими агентами проникали на Кавказ из Константинополя, где располагались их вербовочные центры и пытались объединить черкесов с польскими дезертирами, бежавшими из русской армии, убеждали их вместе сражаться с общим противником.</w:t>
      </w:r>
    </w:p>
    <w:p w14:paraId="373198EE" w14:textId="77777777" w:rsidR="009E53B4" w:rsidRPr="00982D01" w:rsidRDefault="009E53B4" w:rsidP="009E53B4">
      <w:pPr>
        <w:spacing w:after="0" w:line="360" w:lineRule="auto"/>
        <w:ind w:firstLine="709"/>
        <w:jc w:val="both"/>
        <w:rPr>
          <w:rFonts w:ascii="Times New Roman" w:eastAsia="Calibri" w:hAnsi="Times New Roman" w:cs="Times New Roman"/>
          <w:sz w:val="28"/>
          <w:szCs w:val="28"/>
        </w:rPr>
      </w:pPr>
      <w:r w:rsidRPr="00982D01">
        <w:rPr>
          <w:rFonts w:ascii="Times New Roman" w:eastAsia="Calibri" w:hAnsi="Times New Roman" w:cs="Times New Roman"/>
          <w:sz w:val="28"/>
          <w:szCs w:val="28"/>
        </w:rPr>
        <w:t xml:space="preserve">Все усилия использовать Северо-Западный Кавказ в качестве оружия, направленного на сдерживание России и даже на разрушение её государственности, провалились. Черкесы не дождались действенной помощи от европейцев, стремившихся использовать их в своих политических целях, а поляки, сосредоточенные в своей ненависти к России, не сумели вовлечь и направить на борьбу за освобождение Польши ни черкесов, ни казаков, в которых они видели своих потенциальных союзников. Химерические планы лидеров польской эмиграции, выходили за рамки разумной реальности, а потому были больше фантазией, не имевшей в действительности оснований для воплощения. </w:t>
      </w:r>
    </w:p>
    <w:p w14:paraId="04C4AFCA" w14:textId="77777777" w:rsidR="009E53B4" w:rsidRPr="00982D01" w:rsidRDefault="009E53B4" w:rsidP="009E53B4">
      <w:pPr>
        <w:spacing w:after="0" w:line="360" w:lineRule="auto"/>
        <w:ind w:firstLine="709"/>
        <w:jc w:val="both"/>
        <w:rPr>
          <w:rFonts w:ascii="Times New Roman" w:eastAsia="Calibri" w:hAnsi="Times New Roman" w:cs="Times New Roman"/>
          <w:sz w:val="28"/>
          <w:szCs w:val="28"/>
        </w:rPr>
      </w:pPr>
      <w:r w:rsidRPr="00982D01">
        <w:rPr>
          <w:rFonts w:ascii="Times New Roman" w:eastAsia="Calibri" w:hAnsi="Times New Roman" w:cs="Times New Roman"/>
          <w:sz w:val="28"/>
          <w:szCs w:val="28"/>
        </w:rPr>
        <w:t>Российские власти активно противодействовали проискам своих европейских, турецких и польских недругов, а к противостоянию с горцами Северного Кавказа стали подходить более вариативно, использовать не только силу оружия, но и меры, укреплявшие доверие и возможность мирного сосуществования.</w:t>
      </w:r>
    </w:p>
    <w:p w14:paraId="08989D3F" w14:textId="77777777" w:rsidR="009E53B4" w:rsidRPr="00982D01" w:rsidRDefault="009E53B4" w:rsidP="009E53B4">
      <w:pPr>
        <w:spacing w:after="0" w:line="360" w:lineRule="auto"/>
        <w:ind w:firstLine="709"/>
        <w:jc w:val="both"/>
        <w:rPr>
          <w:rFonts w:ascii="Times New Roman" w:eastAsia="Calibri" w:hAnsi="Times New Roman" w:cs="Times New Roman"/>
          <w:sz w:val="28"/>
          <w:szCs w:val="28"/>
        </w:rPr>
      </w:pPr>
      <w:r w:rsidRPr="00982D01">
        <w:rPr>
          <w:rFonts w:ascii="Times New Roman" w:eastAsia="Calibri" w:hAnsi="Times New Roman" w:cs="Times New Roman"/>
          <w:b/>
          <w:bCs/>
          <w:sz w:val="28"/>
          <w:szCs w:val="28"/>
        </w:rPr>
        <w:t>Ключевые слова:</w:t>
      </w:r>
      <w:r w:rsidRPr="00982D01">
        <w:rPr>
          <w:rFonts w:ascii="Times New Roman" w:eastAsia="Calibri" w:hAnsi="Times New Roman" w:cs="Times New Roman"/>
          <w:sz w:val="28"/>
          <w:szCs w:val="28"/>
        </w:rPr>
        <w:t xml:space="preserve"> Северный Кавказ, Россия, Оттоманская Порта, черкесы, европейские агенты, эмиссары, поляки-эмигранты, дезертиры, казаки.</w:t>
      </w:r>
    </w:p>
    <w:p w14:paraId="61D52A97" w14:textId="77777777" w:rsidR="009E53B4" w:rsidRPr="00982D01" w:rsidRDefault="009E53B4" w:rsidP="009E53B4">
      <w:pPr>
        <w:spacing w:after="200" w:line="276" w:lineRule="auto"/>
        <w:jc w:val="right"/>
        <w:rPr>
          <w:rFonts w:ascii="Times New Roman" w:eastAsia="Calibri" w:hAnsi="Times New Roman" w:cs="Times New Roman"/>
          <w:b/>
          <w:bCs/>
          <w:sz w:val="28"/>
          <w:szCs w:val="28"/>
          <w:lang w:val="en-US"/>
        </w:rPr>
      </w:pPr>
      <w:r w:rsidRPr="00982D01">
        <w:rPr>
          <w:rFonts w:ascii="Times New Roman" w:eastAsia="Calibri" w:hAnsi="Times New Roman" w:cs="Times New Roman"/>
          <w:b/>
          <w:bCs/>
          <w:sz w:val="28"/>
          <w:szCs w:val="28"/>
          <w:lang w:val="en-US"/>
        </w:rPr>
        <w:t xml:space="preserve">Sergey S. </w:t>
      </w:r>
      <w:proofErr w:type="spellStart"/>
      <w:r w:rsidRPr="00982D01">
        <w:rPr>
          <w:rFonts w:ascii="Times New Roman" w:eastAsia="Calibri" w:hAnsi="Times New Roman" w:cs="Times New Roman"/>
          <w:b/>
          <w:bCs/>
          <w:sz w:val="28"/>
          <w:szCs w:val="28"/>
          <w:lang w:val="en-US"/>
        </w:rPr>
        <w:t>Lazar</w:t>
      </w:r>
      <w:r>
        <w:rPr>
          <w:rFonts w:ascii="Times New Roman" w:eastAsia="Calibri" w:hAnsi="Times New Roman" w:cs="Times New Roman"/>
          <w:b/>
          <w:bCs/>
          <w:sz w:val="28"/>
          <w:szCs w:val="28"/>
          <w:lang w:val="en-US"/>
        </w:rPr>
        <w:t>y</w:t>
      </w:r>
      <w:r w:rsidRPr="00982D01">
        <w:rPr>
          <w:rFonts w:ascii="Times New Roman" w:eastAsia="Calibri" w:hAnsi="Times New Roman" w:cs="Times New Roman"/>
          <w:b/>
          <w:bCs/>
          <w:sz w:val="28"/>
          <w:szCs w:val="28"/>
          <w:lang w:val="en-US"/>
        </w:rPr>
        <w:t>an</w:t>
      </w:r>
      <w:proofErr w:type="spellEnd"/>
    </w:p>
    <w:p w14:paraId="49CFBF3E" w14:textId="77777777" w:rsidR="009E53B4" w:rsidRPr="00982D01" w:rsidRDefault="009E53B4" w:rsidP="009E53B4">
      <w:pPr>
        <w:spacing w:after="200" w:line="360" w:lineRule="auto"/>
        <w:jc w:val="center"/>
        <w:rPr>
          <w:rFonts w:ascii="Times New Roman" w:eastAsia="Calibri" w:hAnsi="Times New Roman" w:cs="Times New Roman"/>
          <w:b/>
          <w:bCs/>
          <w:sz w:val="28"/>
          <w:szCs w:val="28"/>
          <w:lang w:val="en-US"/>
        </w:rPr>
      </w:pPr>
      <w:r w:rsidRPr="00982D01">
        <w:rPr>
          <w:rFonts w:ascii="Times New Roman" w:eastAsia="Calibri" w:hAnsi="Times New Roman" w:cs="Times New Roman"/>
          <w:b/>
          <w:bCs/>
          <w:sz w:val="28"/>
          <w:szCs w:val="28"/>
          <w:lang w:val="en-US"/>
        </w:rPr>
        <w:t>THE NORTH-WESTERN CAUCASUS IN THE 30-50</w:t>
      </w:r>
      <w:r>
        <w:rPr>
          <w:rFonts w:ascii="Times New Roman" w:eastAsia="Calibri" w:hAnsi="Times New Roman" w:cs="Times New Roman"/>
          <w:b/>
          <w:bCs/>
          <w:sz w:val="28"/>
          <w:szCs w:val="28"/>
          <w:lang w:val="en-US"/>
        </w:rPr>
        <w:t>s</w:t>
      </w:r>
      <w:r w:rsidRPr="00982D01">
        <w:rPr>
          <w:rFonts w:ascii="Times New Roman" w:eastAsia="Calibri" w:hAnsi="Times New Roman" w:cs="Times New Roman"/>
          <w:b/>
          <w:bCs/>
          <w:sz w:val="28"/>
          <w:szCs w:val="28"/>
          <w:lang w:val="en-US"/>
        </w:rPr>
        <w:t xml:space="preserve"> OF THE XIX CENTURY AS A MEANS OF FIGHTING AGAINST RUSSIA IN THE PLANS OF ITS GEOPOLITICAL OPPONENTS</w:t>
      </w:r>
    </w:p>
    <w:p w14:paraId="41E885F0" w14:textId="77777777" w:rsidR="009E53B4" w:rsidRPr="00982D01" w:rsidRDefault="009E53B4" w:rsidP="009E53B4">
      <w:pPr>
        <w:spacing w:after="0" w:line="360" w:lineRule="auto"/>
        <w:ind w:firstLine="709"/>
        <w:jc w:val="both"/>
        <w:rPr>
          <w:rFonts w:ascii="Times New Roman" w:eastAsia="Calibri" w:hAnsi="Times New Roman" w:cs="Times New Roman"/>
          <w:sz w:val="28"/>
          <w:szCs w:val="28"/>
          <w:lang w:val="en-US"/>
        </w:rPr>
      </w:pPr>
      <w:r w:rsidRPr="00982D01">
        <w:rPr>
          <w:rFonts w:ascii="Times New Roman" w:eastAsia="Calibri" w:hAnsi="Times New Roman" w:cs="Times New Roman"/>
          <w:sz w:val="28"/>
          <w:szCs w:val="28"/>
          <w:lang w:val="en-US"/>
        </w:rPr>
        <w:t xml:space="preserve">The main geopolitical opponents of the Russian Empire in the first half of the 19th century - England, France and the Ottoman Port - sought to complicate the situation in the North Caucasus by setting the local mountain population against the </w:t>
      </w:r>
      <w:r w:rsidRPr="00982D01">
        <w:rPr>
          <w:rFonts w:ascii="Times New Roman" w:eastAsia="Calibri" w:hAnsi="Times New Roman" w:cs="Times New Roman"/>
          <w:sz w:val="28"/>
          <w:szCs w:val="28"/>
          <w:lang w:val="en-US"/>
        </w:rPr>
        <w:lastRenderedPageBreak/>
        <w:t>Russians. They not only sent their agents and emissaries to the eastern coast of the Black Sea, who collected intelligence information there, and distributed anti-Russian appeals, but by sea on commercial ships they delivered various goods, weapons and gunpowder to the mountaineers, irreconcilably disposed towards the Russians.</w:t>
      </w:r>
    </w:p>
    <w:p w14:paraId="10672EEB" w14:textId="77777777" w:rsidR="009E53B4" w:rsidRPr="00982D01" w:rsidRDefault="009E53B4" w:rsidP="009E53B4">
      <w:pPr>
        <w:spacing w:after="0" w:line="360" w:lineRule="auto"/>
        <w:ind w:firstLine="709"/>
        <w:jc w:val="both"/>
        <w:rPr>
          <w:rFonts w:ascii="Times New Roman" w:eastAsia="Calibri" w:hAnsi="Times New Roman" w:cs="Times New Roman"/>
          <w:sz w:val="28"/>
          <w:szCs w:val="28"/>
          <w:lang w:val="en-US"/>
        </w:rPr>
      </w:pPr>
      <w:r w:rsidRPr="00982D01">
        <w:rPr>
          <w:rFonts w:ascii="Times New Roman" w:eastAsia="Calibri" w:hAnsi="Times New Roman" w:cs="Times New Roman"/>
          <w:sz w:val="28"/>
          <w:szCs w:val="28"/>
          <w:lang w:val="en-US"/>
        </w:rPr>
        <w:t>European and Turkish agents urged the Circassians to fight against the Russians and promised them military support from the European monarchs, who did not recognize Russia's right to own the Black Sea coast of the Caucasus. Poles-emigrants, also hostile to the Russians, together with European agents, penetrated into the Caucasus from Constantinople, where their recruiting centers were located and tried to unite the Circassians with the Polish deserters who had fled from the Russian army, urging them to fight together with a common enemy.</w:t>
      </w:r>
    </w:p>
    <w:p w14:paraId="617FA1F8" w14:textId="77777777" w:rsidR="009E53B4" w:rsidRPr="00982D01" w:rsidRDefault="009E53B4" w:rsidP="009E53B4">
      <w:pPr>
        <w:spacing w:after="0" w:line="360" w:lineRule="auto"/>
        <w:ind w:firstLine="709"/>
        <w:jc w:val="both"/>
        <w:rPr>
          <w:rFonts w:ascii="Times New Roman" w:eastAsia="Calibri" w:hAnsi="Times New Roman" w:cs="Times New Roman"/>
          <w:sz w:val="28"/>
          <w:szCs w:val="28"/>
          <w:lang w:val="en-US"/>
        </w:rPr>
      </w:pPr>
      <w:r w:rsidRPr="00982D01">
        <w:rPr>
          <w:rFonts w:ascii="Times New Roman" w:eastAsia="Calibri" w:hAnsi="Times New Roman" w:cs="Times New Roman"/>
          <w:sz w:val="28"/>
          <w:szCs w:val="28"/>
          <w:lang w:val="en-US"/>
        </w:rPr>
        <w:t>All efforts to use the North-western Caucasus as a weapon aimed at containing Russia and even destroying its statehood have failed. The Circassians did not wait for effective help from the Europeans, who sought to use them for their political purposes, and the Poles, concentrated in their hatred of Russia, failed to involve and send neither the Circassians nor the Cossacks, whom they saw as their potential allies, into the struggle for the liberation of Poland. The chimerical plans of the leaders of the Polish emigration went beyond reasonable reality, and therefore were more of a fantasy that had no real basis for implementation.</w:t>
      </w:r>
    </w:p>
    <w:p w14:paraId="78759490" w14:textId="77777777" w:rsidR="009E53B4" w:rsidRPr="00982D01" w:rsidRDefault="009E53B4" w:rsidP="009E53B4">
      <w:pPr>
        <w:spacing w:after="0" w:line="360" w:lineRule="auto"/>
        <w:ind w:firstLine="709"/>
        <w:jc w:val="both"/>
        <w:rPr>
          <w:rFonts w:ascii="Times New Roman" w:eastAsia="Calibri" w:hAnsi="Times New Roman" w:cs="Times New Roman"/>
          <w:sz w:val="28"/>
          <w:szCs w:val="28"/>
          <w:lang w:val="en-US"/>
        </w:rPr>
      </w:pPr>
      <w:r w:rsidRPr="00982D01">
        <w:rPr>
          <w:rFonts w:ascii="Times New Roman" w:eastAsia="Calibri" w:hAnsi="Times New Roman" w:cs="Times New Roman"/>
          <w:sz w:val="28"/>
          <w:szCs w:val="28"/>
          <w:lang w:val="en-US"/>
        </w:rPr>
        <w:t>The Russian authorities actively countered the intrigues of their European, Turkish and Polish enemies, and they began to approach the confrontation with the mountaineers of the North Caucasus more variably, using not only force of arms, but also measures that strengthened confidence and the possibility of peaceful coexistence.</w:t>
      </w:r>
    </w:p>
    <w:p w14:paraId="51D1409D" w14:textId="77777777" w:rsidR="009E53B4" w:rsidRPr="00982D01" w:rsidRDefault="009E53B4" w:rsidP="009E53B4">
      <w:pPr>
        <w:spacing w:after="0" w:line="360" w:lineRule="auto"/>
        <w:ind w:firstLine="709"/>
        <w:jc w:val="both"/>
        <w:rPr>
          <w:rFonts w:ascii="Times New Roman" w:eastAsia="Calibri" w:hAnsi="Times New Roman" w:cs="Times New Roman"/>
          <w:sz w:val="28"/>
          <w:szCs w:val="28"/>
          <w:lang w:val="en-US"/>
        </w:rPr>
      </w:pPr>
      <w:r w:rsidRPr="00982D01">
        <w:rPr>
          <w:rFonts w:ascii="Times New Roman" w:eastAsia="Calibri" w:hAnsi="Times New Roman" w:cs="Times New Roman"/>
          <w:b/>
          <w:bCs/>
          <w:sz w:val="28"/>
          <w:szCs w:val="28"/>
          <w:lang w:val="en-US"/>
        </w:rPr>
        <w:t>Key words:</w:t>
      </w:r>
      <w:r w:rsidRPr="00982D01">
        <w:rPr>
          <w:rFonts w:ascii="Times New Roman" w:eastAsia="Calibri" w:hAnsi="Times New Roman" w:cs="Times New Roman"/>
          <w:sz w:val="28"/>
          <w:szCs w:val="28"/>
          <w:lang w:val="en-US"/>
        </w:rPr>
        <w:t xml:space="preserve"> North Caucasus, Russia, Ottoman Porte, Circassians, European agents, emissaries, emigrant Poles, deserters, Cossacks.</w:t>
      </w:r>
    </w:p>
    <w:p w14:paraId="6D9A9296" w14:textId="77777777" w:rsidR="003578B6" w:rsidRDefault="003578B6" w:rsidP="003578B6">
      <w:pPr>
        <w:spacing w:after="0" w:line="360" w:lineRule="auto"/>
        <w:rPr>
          <w:rFonts w:ascii="Times New Roman" w:eastAsia="Calibri" w:hAnsi="Times New Roman" w:cs="Times New Roman"/>
          <w:b/>
          <w:bCs/>
          <w:sz w:val="28"/>
          <w:szCs w:val="28"/>
        </w:rPr>
      </w:pPr>
    </w:p>
    <w:p w14:paraId="051F2580" w14:textId="2ED99E4C" w:rsidR="009E53B4" w:rsidRPr="003578B6" w:rsidRDefault="003578B6" w:rsidP="003578B6">
      <w:pPr>
        <w:spacing w:after="0" w:line="360" w:lineRule="auto"/>
        <w:rPr>
          <w:rFonts w:ascii="Times New Roman" w:eastAsia="Calibri" w:hAnsi="Times New Roman" w:cs="Times New Roman"/>
          <w:b/>
          <w:bCs/>
          <w:sz w:val="28"/>
          <w:szCs w:val="28"/>
        </w:rPr>
      </w:pPr>
      <w:r w:rsidRPr="003578B6">
        <w:rPr>
          <w:rFonts w:ascii="Times New Roman" w:eastAsia="Calibri" w:hAnsi="Times New Roman" w:cs="Times New Roman"/>
          <w:b/>
          <w:bCs/>
          <w:sz w:val="28"/>
          <w:szCs w:val="28"/>
        </w:rPr>
        <w:t>УДК 94(611)</w:t>
      </w:r>
    </w:p>
    <w:p w14:paraId="6F9AB17E" w14:textId="77777777" w:rsidR="003578B6" w:rsidRDefault="003578B6" w:rsidP="003578B6">
      <w:pPr>
        <w:spacing w:after="0" w:line="360" w:lineRule="auto"/>
        <w:jc w:val="right"/>
        <w:rPr>
          <w:rFonts w:ascii="Times New Roman" w:eastAsia="Calibri" w:hAnsi="Times New Roman" w:cs="Times New Roman"/>
          <w:b/>
          <w:bCs/>
          <w:sz w:val="28"/>
          <w:szCs w:val="28"/>
        </w:rPr>
      </w:pPr>
      <w:r w:rsidRPr="004F752F">
        <w:rPr>
          <w:rFonts w:ascii="Times New Roman" w:eastAsia="Calibri" w:hAnsi="Times New Roman" w:cs="Times New Roman"/>
          <w:b/>
          <w:bCs/>
          <w:sz w:val="28"/>
          <w:szCs w:val="28"/>
        </w:rPr>
        <w:t>http://doi.org/10.37493/2409-1030.2022.2.9</w:t>
      </w:r>
    </w:p>
    <w:p w14:paraId="1C982CBB" w14:textId="77777777" w:rsidR="003578B6" w:rsidRPr="00982D01" w:rsidRDefault="003578B6" w:rsidP="003578B6">
      <w:pPr>
        <w:spacing w:after="0" w:line="360" w:lineRule="auto"/>
        <w:jc w:val="right"/>
        <w:rPr>
          <w:rFonts w:ascii="Times New Roman" w:eastAsia="Calibri" w:hAnsi="Times New Roman" w:cs="Times New Roman"/>
          <w:b/>
          <w:bCs/>
          <w:sz w:val="28"/>
          <w:szCs w:val="28"/>
        </w:rPr>
      </w:pPr>
      <w:r w:rsidRPr="00982D01">
        <w:rPr>
          <w:rFonts w:ascii="Times New Roman" w:eastAsia="Calibri" w:hAnsi="Times New Roman" w:cs="Times New Roman"/>
          <w:b/>
          <w:bCs/>
          <w:sz w:val="28"/>
          <w:szCs w:val="28"/>
        </w:rPr>
        <w:t xml:space="preserve"> Е.Н. Моисеева</w:t>
      </w:r>
    </w:p>
    <w:p w14:paraId="14F8C273" w14:textId="77777777" w:rsidR="003578B6" w:rsidRPr="00982D01" w:rsidRDefault="003578B6" w:rsidP="003578B6">
      <w:pPr>
        <w:spacing w:after="0" w:line="360" w:lineRule="auto"/>
        <w:jc w:val="center"/>
        <w:rPr>
          <w:rFonts w:ascii="Times New Roman" w:eastAsia="Calibri" w:hAnsi="Times New Roman" w:cs="Times New Roman"/>
          <w:b/>
          <w:bCs/>
          <w:sz w:val="28"/>
          <w:szCs w:val="28"/>
        </w:rPr>
      </w:pPr>
      <w:r w:rsidRPr="00982D01">
        <w:rPr>
          <w:rFonts w:ascii="Times New Roman" w:eastAsia="Calibri" w:hAnsi="Times New Roman" w:cs="Times New Roman"/>
          <w:b/>
          <w:bCs/>
          <w:sz w:val="28"/>
          <w:szCs w:val="28"/>
        </w:rPr>
        <w:lastRenderedPageBreak/>
        <w:t xml:space="preserve">«ГОСТЕПРИИМНОЕ» ПРОСТРАНСТВО САХАРЫ ВО ФРАНЦУЗСКИХ ПРОЕКТАХ ПОСЛЕДНЕЙ ТРЕТИ </w:t>
      </w:r>
      <w:r w:rsidRPr="00982D01">
        <w:rPr>
          <w:rFonts w:ascii="Times New Roman" w:eastAsia="Calibri" w:hAnsi="Times New Roman" w:cs="Times New Roman"/>
          <w:b/>
          <w:bCs/>
          <w:sz w:val="28"/>
          <w:szCs w:val="28"/>
          <w:lang w:val="en-US"/>
        </w:rPr>
        <w:t>XIX</w:t>
      </w:r>
      <w:r w:rsidRPr="00982D01">
        <w:rPr>
          <w:rFonts w:ascii="Times New Roman" w:eastAsia="Calibri" w:hAnsi="Times New Roman" w:cs="Times New Roman"/>
          <w:b/>
          <w:bCs/>
          <w:sz w:val="28"/>
          <w:szCs w:val="28"/>
        </w:rPr>
        <w:t xml:space="preserve"> В.</w:t>
      </w:r>
    </w:p>
    <w:p w14:paraId="26487851" w14:textId="77777777" w:rsidR="003578B6" w:rsidRPr="00982D01" w:rsidRDefault="003578B6" w:rsidP="003578B6">
      <w:pPr>
        <w:spacing w:after="0" w:line="360" w:lineRule="auto"/>
        <w:ind w:firstLine="709"/>
        <w:jc w:val="both"/>
        <w:rPr>
          <w:rFonts w:ascii="inherit" w:eastAsia="Times New Roman" w:hAnsi="inherit" w:cs="Courier New"/>
          <w:sz w:val="28"/>
          <w:szCs w:val="28"/>
          <w:lang w:eastAsia="ru-RU"/>
        </w:rPr>
      </w:pPr>
      <w:r w:rsidRPr="00982D01">
        <w:rPr>
          <w:rFonts w:ascii="Times New Roman" w:eastAsia="Calibri" w:hAnsi="Times New Roman" w:cs="Times New Roman"/>
          <w:sz w:val="28"/>
          <w:szCs w:val="28"/>
        </w:rPr>
        <w:t xml:space="preserve">В статье речь пойдет о </w:t>
      </w:r>
      <w:r w:rsidRPr="00982D01">
        <w:rPr>
          <w:rFonts w:ascii="Times New Roman" w:eastAsia="Times New Roman" w:hAnsi="Times New Roman" w:cs="Times New Roman"/>
          <w:sz w:val="28"/>
          <w:szCs w:val="28"/>
          <w:lang w:eastAsia="ru-RU"/>
        </w:rPr>
        <w:t xml:space="preserve">репрезентациях пустыни Сахары в проектах инженеров А. </w:t>
      </w:r>
      <w:proofErr w:type="spellStart"/>
      <w:r w:rsidRPr="00982D01">
        <w:rPr>
          <w:rFonts w:ascii="Times New Roman" w:eastAsia="Times New Roman" w:hAnsi="Times New Roman" w:cs="Times New Roman"/>
          <w:sz w:val="28"/>
          <w:szCs w:val="28"/>
          <w:lang w:eastAsia="ru-RU"/>
        </w:rPr>
        <w:t>Дюпонщеля</w:t>
      </w:r>
      <w:proofErr w:type="spellEnd"/>
      <w:r w:rsidRPr="00982D01">
        <w:rPr>
          <w:rFonts w:ascii="Times New Roman" w:eastAsia="Times New Roman" w:hAnsi="Times New Roman" w:cs="Times New Roman"/>
          <w:sz w:val="28"/>
          <w:szCs w:val="28"/>
          <w:lang w:eastAsia="ru-RU"/>
        </w:rPr>
        <w:t xml:space="preserve"> (постройка </w:t>
      </w:r>
      <w:proofErr w:type="spellStart"/>
      <w:r w:rsidRPr="00982D01">
        <w:rPr>
          <w:rFonts w:ascii="Times New Roman" w:eastAsia="Times New Roman" w:hAnsi="Times New Roman" w:cs="Times New Roman"/>
          <w:sz w:val="28"/>
          <w:szCs w:val="28"/>
          <w:lang w:eastAsia="ru-RU"/>
        </w:rPr>
        <w:t>Транссахарской</w:t>
      </w:r>
      <w:proofErr w:type="spellEnd"/>
      <w:r w:rsidRPr="00982D01">
        <w:rPr>
          <w:rFonts w:ascii="Times New Roman" w:eastAsia="Times New Roman" w:hAnsi="Times New Roman" w:cs="Times New Roman"/>
          <w:sz w:val="28"/>
          <w:szCs w:val="28"/>
          <w:lang w:eastAsia="ru-RU"/>
        </w:rPr>
        <w:t xml:space="preserve"> железной дороги) и Ф.-Э. </w:t>
      </w:r>
      <w:proofErr w:type="spellStart"/>
      <w:r w:rsidRPr="00982D01">
        <w:rPr>
          <w:rFonts w:ascii="Times New Roman" w:eastAsia="Times New Roman" w:hAnsi="Times New Roman" w:cs="Times New Roman"/>
          <w:sz w:val="28"/>
          <w:szCs w:val="28"/>
          <w:lang w:eastAsia="ru-RU"/>
        </w:rPr>
        <w:t>Рудэра</w:t>
      </w:r>
      <w:proofErr w:type="spellEnd"/>
      <w:r w:rsidRPr="00982D01">
        <w:rPr>
          <w:rFonts w:ascii="Times New Roman" w:eastAsia="Times New Roman" w:hAnsi="Times New Roman" w:cs="Times New Roman"/>
          <w:sz w:val="28"/>
          <w:szCs w:val="28"/>
          <w:lang w:eastAsia="ru-RU"/>
        </w:rPr>
        <w:t xml:space="preserve"> (создание внутреннего моря в Алжире и Тунисе), которые ставили перед собой цель трансформировать пространство Сахары и включить его в единое пространство французской империи. </w:t>
      </w:r>
      <w:r w:rsidRPr="00982D01">
        <w:rPr>
          <w:rFonts w:ascii="inherit" w:eastAsia="Times New Roman" w:hAnsi="inherit" w:cs="Courier New"/>
          <w:color w:val="202124"/>
          <w:sz w:val="28"/>
          <w:szCs w:val="28"/>
          <w:lang w:eastAsia="ru-RU"/>
        </w:rPr>
        <w:t>Неудача этих проектов, несомненно, помешала анализу их влияния на представление о пустыне как о зоне соединения французских колониальных территорий. Б</w:t>
      </w:r>
      <w:r w:rsidRPr="00982D01">
        <w:rPr>
          <w:rFonts w:ascii="Times New Roman" w:eastAsia="Times New Roman" w:hAnsi="Times New Roman" w:cs="Times New Roman"/>
          <w:sz w:val="28"/>
          <w:szCs w:val="28"/>
          <w:lang w:eastAsia="ru-RU"/>
        </w:rPr>
        <w:t>удут также изучены представления о Сахаре французского путешественника П. </w:t>
      </w:r>
      <w:proofErr w:type="spellStart"/>
      <w:r w:rsidRPr="00982D01">
        <w:rPr>
          <w:rFonts w:ascii="Times New Roman" w:eastAsia="Times New Roman" w:hAnsi="Times New Roman" w:cs="Times New Roman"/>
          <w:sz w:val="28"/>
          <w:szCs w:val="28"/>
          <w:lang w:eastAsia="ru-RU"/>
        </w:rPr>
        <w:t>Солейе</w:t>
      </w:r>
      <w:proofErr w:type="spellEnd"/>
      <w:r w:rsidRPr="00982D01">
        <w:rPr>
          <w:rFonts w:ascii="Times New Roman" w:eastAsia="Times New Roman" w:hAnsi="Times New Roman" w:cs="Times New Roman"/>
          <w:sz w:val="28"/>
          <w:szCs w:val="28"/>
          <w:lang w:eastAsia="ru-RU"/>
        </w:rPr>
        <w:t>, который поддержал оба проекта.</w:t>
      </w:r>
      <w:r w:rsidRPr="00982D01">
        <w:rPr>
          <w:rFonts w:ascii="Times New Roman" w:eastAsia="Calibri" w:hAnsi="Times New Roman" w:cs="Times New Roman"/>
          <w:sz w:val="28"/>
          <w:szCs w:val="28"/>
        </w:rPr>
        <w:t xml:space="preserve"> В данной статьей сделана попытка выяснить, </w:t>
      </w:r>
      <w:r w:rsidRPr="00982D01">
        <w:rPr>
          <w:rFonts w:ascii="Times New Roman" w:eastAsia="Calibri" w:hAnsi="Times New Roman" w:cs="Times New Roman"/>
          <w:sz w:val="28"/>
          <w:szCs w:val="28"/>
          <w:shd w:val="clear" w:color="auto" w:fill="FFFFFF"/>
        </w:rPr>
        <w:t xml:space="preserve">как в исследуемых текстах </w:t>
      </w:r>
      <w:r w:rsidRPr="00982D01">
        <w:rPr>
          <w:rFonts w:ascii="Times New Roman" w:eastAsia="Calibri" w:hAnsi="Times New Roman" w:cs="Times New Roman"/>
          <w:sz w:val="28"/>
          <w:szCs w:val="28"/>
        </w:rPr>
        <w:t>конструировался образ «новой» Сахары?</w:t>
      </w:r>
      <w:r w:rsidRPr="00982D01">
        <w:rPr>
          <w:rFonts w:ascii="Times New Roman" w:eastAsia="Calibri" w:hAnsi="Times New Roman" w:cs="Times New Roman"/>
          <w:sz w:val="28"/>
          <w:szCs w:val="28"/>
          <w:shd w:val="clear" w:color="auto" w:fill="FFFFFF"/>
        </w:rPr>
        <w:t xml:space="preserve"> </w:t>
      </w:r>
      <w:r w:rsidRPr="00982D01">
        <w:rPr>
          <w:rFonts w:ascii="Times New Roman" w:eastAsia="Calibri" w:hAnsi="Times New Roman" w:cs="Times New Roman"/>
          <w:color w:val="000000"/>
          <w:sz w:val="28"/>
          <w:szCs w:val="28"/>
        </w:rPr>
        <w:t xml:space="preserve">Как Сахара «превращалась» из </w:t>
      </w:r>
      <w:r w:rsidRPr="00982D01">
        <w:rPr>
          <w:rFonts w:ascii="Times New Roman" w:eastAsia="Times New Roman" w:hAnsi="Times New Roman" w:cs="Times New Roman"/>
          <w:sz w:val="28"/>
          <w:szCs w:val="28"/>
          <w:lang w:eastAsia="ru-RU"/>
        </w:rPr>
        <w:t xml:space="preserve">враждебного и таинственного пространства, в пространство – гостеприимное и «обычное»? </w:t>
      </w:r>
      <w:r w:rsidRPr="00982D01">
        <w:rPr>
          <w:rFonts w:ascii="Times New Roman" w:eastAsia="Times New Roman" w:hAnsi="Times New Roman" w:cs="Times New Roman"/>
          <w:sz w:val="28"/>
          <w:szCs w:val="28"/>
          <w:shd w:val="clear" w:color="auto" w:fill="FFFFFF"/>
          <w:lang w:eastAsia="ru-RU"/>
        </w:rPr>
        <w:t>П</w:t>
      </w:r>
      <w:r w:rsidRPr="00982D01">
        <w:rPr>
          <w:rFonts w:ascii="Times New Roman" w:eastAsia="Times New Roman" w:hAnsi="Times New Roman" w:cs="Times New Roman"/>
          <w:sz w:val="28"/>
          <w:szCs w:val="28"/>
          <w:lang w:eastAsia="ru-RU"/>
        </w:rPr>
        <w:t>ространство империи в рамках имперского дискурса будет рассматриваться не просто сценой, где разыгрывались колониальные события, а центральным объектом при анализе колониальной ситуации и территорией смыслов.</w:t>
      </w:r>
      <w:r w:rsidRPr="00982D01">
        <w:rPr>
          <w:rFonts w:ascii="inherit" w:eastAsia="Times New Roman" w:hAnsi="inherit" w:cs="Courier New"/>
          <w:sz w:val="28"/>
          <w:szCs w:val="28"/>
          <w:lang w:eastAsia="ru-RU"/>
        </w:rPr>
        <w:t xml:space="preserve"> Вполне вероятно, что удачная реализация этих проектов изменила бы образ Сахары в общественном сознании, а основой формирования нового образа как раз и послужили бы тексты вышеперечисленных авторов.</w:t>
      </w:r>
    </w:p>
    <w:p w14:paraId="453C7A4A" w14:textId="77777777" w:rsidR="003578B6" w:rsidRPr="00982D01" w:rsidRDefault="003578B6" w:rsidP="003578B6">
      <w:pPr>
        <w:spacing w:after="0" w:line="360" w:lineRule="auto"/>
        <w:ind w:firstLine="708"/>
        <w:jc w:val="both"/>
        <w:rPr>
          <w:rFonts w:ascii="Times New Roman" w:eastAsia="Times New Roman" w:hAnsi="Times New Roman" w:cs="Times New Roman"/>
          <w:sz w:val="28"/>
          <w:szCs w:val="28"/>
          <w:lang w:eastAsia="ru-RU"/>
        </w:rPr>
      </w:pPr>
      <w:r w:rsidRPr="00982D01">
        <w:rPr>
          <w:rFonts w:ascii="Times New Roman" w:eastAsia="Calibri" w:hAnsi="Times New Roman" w:cs="Times New Roman"/>
          <w:b/>
          <w:bCs/>
          <w:sz w:val="28"/>
          <w:szCs w:val="28"/>
        </w:rPr>
        <w:t>Ключевые слова:</w:t>
      </w:r>
      <w:r w:rsidRPr="00982D01">
        <w:rPr>
          <w:rFonts w:ascii="Times New Roman" w:eastAsia="Calibri" w:hAnsi="Times New Roman" w:cs="Times New Roman"/>
          <w:sz w:val="28"/>
          <w:szCs w:val="28"/>
        </w:rPr>
        <w:t xml:space="preserve"> </w:t>
      </w:r>
      <w:r w:rsidRPr="00982D01">
        <w:rPr>
          <w:rFonts w:ascii="Times New Roman" w:eastAsia="Times New Roman" w:hAnsi="Times New Roman" w:cs="Times New Roman"/>
          <w:sz w:val="28"/>
          <w:szCs w:val="28"/>
          <w:lang w:eastAsia="ru-RU"/>
        </w:rPr>
        <w:t xml:space="preserve">имперское пространство, имперский дискурс, проект </w:t>
      </w:r>
      <w:proofErr w:type="spellStart"/>
      <w:r w:rsidRPr="00982D01">
        <w:rPr>
          <w:rFonts w:ascii="Times New Roman" w:eastAsia="Times New Roman" w:hAnsi="Times New Roman" w:cs="Times New Roman"/>
          <w:sz w:val="28"/>
          <w:szCs w:val="28"/>
          <w:lang w:eastAsia="ru-RU"/>
        </w:rPr>
        <w:t>Трассахарской</w:t>
      </w:r>
      <w:proofErr w:type="spellEnd"/>
      <w:r w:rsidRPr="00982D01">
        <w:rPr>
          <w:rFonts w:ascii="Times New Roman" w:eastAsia="Times New Roman" w:hAnsi="Times New Roman" w:cs="Times New Roman"/>
          <w:sz w:val="28"/>
          <w:szCs w:val="28"/>
          <w:lang w:eastAsia="ru-RU"/>
        </w:rPr>
        <w:t xml:space="preserve"> железной дороги, А. </w:t>
      </w:r>
      <w:proofErr w:type="spellStart"/>
      <w:r w:rsidRPr="00982D01">
        <w:rPr>
          <w:rFonts w:ascii="Times New Roman" w:eastAsia="Times New Roman" w:hAnsi="Times New Roman" w:cs="Times New Roman"/>
          <w:sz w:val="28"/>
          <w:szCs w:val="28"/>
          <w:lang w:eastAsia="ru-RU"/>
        </w:rPr>
        <w:t>Дюпоншель</w:t>
      </w:r>
      <w:proofErr w:type="spellEnd"/>
      <w:r w:rsidRPr="00982D01">
        <w:rPr>
          <w:rFonts w:ascii="Times New Roman" w:eastAsia="Times New Roman" w:hAnsi="Times New Roman" w:cs="Times New Roman"/>
          <w:sz w:val="28"/>
          <w:szCs w:val="28"/>
          <w:lang w:eastAsia="ru-RU"/>
        </w:rPr>
        <w:t xml:space="preserve">, проект внутреннего моря, Ф.-Э. </w:t>
      </w:r>
      <w:proofErr w:type="spellStart"/>
      <w:r w:rsidRPr="00982D01">
        <w:rPr>
          <w:rFonts w:ascii="Times New Roman" w:eastAsia="Times New Roman" w:hAnsi="Times New Roman" w:cs="Times New Roman"/>
          <w:sz w:val="28"/>
          <w:szCs w:val="28"/>
          <w:lang w:eastAsia="ru-RU"/>
        </w:rPr>
        <w:t>Рудэр</w:t>
      </w:r>
      <w:proofErr w:type="spellEnd"/>
      <w:r w:rsidRPr="00982D01">
        <w:rPr>
          <w:rFonts w:ascii="Times New Roman" w:eastAsia="Times New Roman" w:hAnsi="Times New Roman" w:cs="Times New Roman"/>
          <w:sz w:val="28"/>
          <w:szCs w:val="28"/>
          <w:lang w:eastAsia="ru-RU"/>
        </w:rPr>
        <w:t xml:space="preserve">, Поль </w:t>
      </w:r>
      <w:proofErr w:type="spellStart"/>
      <w:r w:rsidRPr="00982D01">
        <w:rPr>
          <w:rFonts w:ascii="Times New Roman" w:eastAsia="Times New Roman" w:hAnsi="Times New Roman" w:cs="Times New Roman"/>
          <w:sz w:val="28"/>
          <w:szCs w:val="28"/>
          <w:lang w:eastAsia="ru-RU"/>
        </w:rPr>
        <w:t>Солейе</w:t>
      </w:r>
      <w:proofErr w:type="spellEnd"/>
      <w:r w:rsidRPr="00982D01">
        <w:rPr>
          <w:rFonts w:ascii="Times New Roman" w:eastAsia="Times New Roman" w:hAnsi="Times New Roman" w:cs="Times New Roman"/>
          <w:sz w:val="28"/>
          <w:szCs w:val="28"/>
          <w:lang w:eastAsia="ru-RU"/>
        </w:rPr>
        <w:t>, Алжир, Тунис, образ Сахары, французские колонии.</w:t>
      </w:r>
    </w:p>
    <w:p w14:paraId="3C2C51EF" w14:textId="77777777" w:rsidR="003578B6" w:rsidRPr="00982D01" w:rsidRDefault="003578B6" w:rsidP="003578B6">
      <w:pPr>
        <w:spacing w:after="0" w:line="360" w:lineRule="auto"/>
        <w:jc w:val="right"/>
        <w:rPr>
          <w:rFonts w:ascii="Times New Roman" w:eastAsia="Calibri" w:hAnsi="Times New Roman" w:cs="Times New Roman"/>
          <w:b/>
          <w:bCs/>
          <w:sz w:val="28"/>
          <w:szCs w:val="28"/>
          <w:lang w:val="en-US"/>
        </w:rPr>
      </w:pPr>
      <w:r w:rsidRPr="00982D01">
        <w:rPr>
          <w:rFonts w:ascii="Times New Roman" w:eastAsia="Calibri" w:hAnsi="Times New Roman" w:cs="Times New Roman"/>
          <w:b/>
          <w:bCs/>
          <w:sz w:val="28"/>
          <w:szCs w:val="28"/>
          <w:lang w:val="en-US"/>
        </w:rPr>
        <w:t>Ekaterina N. Moiseeva</w:t>
      </w:r>
    </w:p>
    <w:p w14:paraId="0B500AA1" w14:textId="77777777" w:rsidR="003578B6" w:rsidRPr="00982D01" w:rsidRDefault="003578B6" w:rsidP="003578B6">
      <w:pPr>
        <w:shd w:val="clear" w:color="auto" w:fill="F8F9FA"/>
        <w:spacing w:after="0" w:line="540" w:lineRule="atLeast"/>
        <w:jc w:val="center"/>
        <w:rPr>
          <w:rFonts w:ascii="inherit" w:eastAsia="Times New Roman" w:hAnsi="inherit" w:cs="Courier New"/>
          <w:color w:val="202124"/>
          <w:sz w:val="42"/>
          <w:szCs w:val="42"/>
          <w:lang w:val="en-US" w:eastAsia="ru-RU"/>
        </w:rPr>
      </w:pPr>
      <w:r w:rsidRPr="00982D01">
        <w:rPr>
          <w:rFonts w:ascii="Times New Roman" w:eastAsia="Calibri" w:hAnsi="Times New Roman" w:cs="Times New Roman"/>
          <w:b/>
          <w:bCs/>
          <w:sz w:val="28"/>
          <w:szCs w:val="28"/>
          <w:lang w:val="en-US"/>
        </w:rPr>
        <w:t>«HOSPITABLE» SPACE OF THE SAHARA IN FRENCH PROJECTS OF THE LAST THIRD OF THE 19TH CENTURY</w:t>
      </w:r>
    </w:p>
    <w:p w14:paraId="18B47CEF" w14:textId="77777777" w:rsidR="003578B6" w:rsidRPr="00982D01" w:rsidRDefault="003578B6" w:rsidP="003578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imes New Roman" w:eastAsia="Times New Roman" w:hAnsi="Times New Roman" w:cs="Times New Roman"/>
          <w:sz w:val="28"/>
          <w:szCs w:val="28"/>
          <w:lang w:val="en-US" w:eastAsia="ru-RU"/>
        </w:rPr>
      </w:pPr>
      <w:r w:rsidRPr="00982D01">
        <w:rPr>
          <w:rFonts w:ascii="Times New Roman" w:eastAsia="Times New Roman" w:hAnsi="Times New Roman" w:cs="Times New Roman"/>
          <w:sz w:val="28"/>
          <w:szCs w:val="28"/>
          <w:lang w:val="en-US" w:eastAsia="ru-RU"/>
        </w:rPr>
        <w:tab/>
        <w:t xml:space="preserve">The article examines the concept of the Sahara Desert in the projects of engineers A. </w:t>
      </w:r>
      <w:proofErr w:type="spellStart"/>
      <w:r w:rsidRPr="00982D01">
        <w:rPr>
          <w:rFonts w:ascii="Times New Roman" w:eastAsia="Times New Roman" w:hAnsi="Times New Roman" w:cs="Times New Roman"/>
          <w:sz w:val="28"/>
          <w:szCs w:val="28"/>
          <w:lang w:val="en-US" w:eastAsia="ru-RU"/>
        </w:rPr>
        <w:t>Duponschel</w:t>
      </w:r>
      <w:proofErr w:type="spellEnd"/>
      <w:r w:rsidRPr="00982D01">
        <w:rPr>
          <w:rFonts w:ascii="Times New Roman" w:eastAsia="Times New Roman" w:hAnsi="Times New Roman" w:cs="Times New Roman"/>
          <w:sz w:val="28"/>
          <w:szCs w:val="28"/>
          <w:lang w:val="en-US" w:eastAsia="ru-RU"/>
        </w:rPr>
        <w:t xml:space="preserve"> (construction of the Trans-Saharan Railway) and F.-E. </w:t>
      </w:r>
      <w:proofErr w:type="spellStart"/>
      <w:r w:rsidRPr="00982D01">
        <w:rPr>
          <w:rFonts w:ascii="Times New Roman" w:eastAsia="Times New Roman" w:hAnsi="Times New Roman" w:cs="Times New Roman"/>
          <w:sz w:val="28"/>
          <w:szCs w:val="28"/>
          <w:lang w:val="en-US" w:eastAsia="ru-RU"/>
        </w:rPr>
        <w:lastRenderedPageBreak/>
        <w:t>Roudaire</w:t>
      </w:r>
      <w:proofErr w:type="spellEnd"/>
      <w:r w:rsidRPr="00982D01">
        <w:rPr>
          <w:rFonts w:ascii="Times New Roman" w:eastAsia="Times New Roman" w:hAnsi="Times New Roman" w:cs="Times New Roman"/>
          <w:sz w:val="28"/>
          <w:szCs w:val="28"/>
          <w:lang w:val="en-US" w:eastAsia="ru-RU"/>
        </w:rPr>
        <w:t xml:space="preserve"> (creation of an inland sea in Algeria and Tunisia). The Objective of the projects is to transform the space of the Sahara and include it in a single space of the French empire. The ideas about the Sahara of the French traveler </w:t>
      </w:r>
      <w:proofErr w:type="spellStart"/>
      <w:r w:rsidRPr="00982D01">
        <w:rPr>
          <w:rFonts w:ascii="Times New Roman" w:eastAsia="Times New Roman" w:hAnsi="Times New Roman" w:cs="Times New Roman"/>
          <w:sz w:val="28"/>
          <w:szCs w:val="28"/>
          <w:lang w:val="en-US" w:eastAsia="ru-RU"/>
        </w:rPr>
        <w:t>Soleillet</w:t>
      </w:r>
      <w:proofErr w:type="spellEnd"/>
      <w:r w:rsidRPr="00982D01">
        <w:rPr>
          <w:rFonts w:ascii="Times New Roman" w:eastAsia="Times New Roman" w:hAnsi="Times New Roman" w:cs="Times New Roman"/>
          <w:sz w:val="28"/>
          <w:szCs w:val="28"/>
          <w:lang w:val="en-US" w:eastAsia="ru-RU"/>
        </w:rPr>
        <w:t xml:space="preserve"> Paul, who supported both projects, will also be studied. This article attempts to find out how the image of the "new" Sahara was constructed in the studied texts? How did the Sahara "transform" from a hostile and mysterious space into a space that was hospitable and "ordinary"? The space of the empire in the context of the study of imperial discourse will be considered not just a scene where colonial events played out, but the central object in the analysis of the colonial situation and the territory of meanings. It is likely that the successful implementation of these projects would change the image of the Sahara in the public mind, and the texts of the above authors would serve as the basis for the formation of a new image.</w:t>
      </w:r>
    </w:p>
    <w:p w14:paraId="5F29AA60" w14:textId="77777777" w:rsidR="003578B6" w:rsidRPr="00982D01" w:rsidRDefault="003578B6" w:rsidP="003578B6">
      <w:pPr>
        <w:shd w:val="clear" w:color="auto" w:fill="F8F9FA"/>
        <w:spacing w:after="0" w:line="540" w:lineRule="atLeast"/>
        <w:ind w:firstLine="708"/>
        <w:jc w:val="both"/>
        <w:rPr>
          <w:rFonts w:ascii="Times New Roman" w:eastAsia="Times New Roman" w:hAnsi="Times New Roman" w:cs="Times New Roman"/>
          <w:sz w:val="28"/>
          <w:szCs w:val="28"/>
          <w:lang w:val="en-US" w:eastAsia="ru-RU"/>
        </w:rPr>
      </w:pPr>
      <w:r w:rsidRPr="00982D01">
        <w:rPr>
          <w:rFonts w:ascii="Times New Roman" w:eastAsia="Times New Roman" w:hAnsi="Times New Roman" w:cs="Times New Roman"/>
          <w:b/>
          <w:bCs/>
          <w:sz w:val="28"/>
          <w:szCs w:val="28"/>
          <w:lang w:val="en-US" w:eastAsia="ru-RU"/>
        </w:rPr>
        <w:t>Key words:</w:t>
      </w:r>
      <w:r w:rsidRPr="00982D01">
        <w:rPr>
          <w:rFonts w:ascii="Times New Roman" w:eastAsia="Times New Roman" w:hAnsi="Times New Roman" w:cs="Times New Roman"/>
          <w:sz w:val="28"/>
          <w:szCs w:val="28"/>
          <w:lang w:val="en-US" w:eastAsia="ru-RU"/>
        </w:rPr>
        <w:t xml:space="preserve"> imperial space, imperial discourse, </w:t>
      </w:r>
      <w:proofErr w:type="spellStart"/>
      <w:r w:rsidRPr="00982D01">
        <w:rPr>
          <w:rFonts w:ascii="Times New Roman" w:eastAsia="Times New Roman" w:hAnsi="Times New Roman" w:cs="Times New Roman"/>
          <w:sz w:val="28"/>
          <w:szCs w:val="28"/>
          <w:lang w:val="en-US" w:eastAsia="ru-RU"/>
        </w:rPr>
        <w:t>Trassahara</w:t>
      </w:r>
      <w:proofErr w:type="spellEnd"/>
      <w:r w:rsidRPr="00982D01">
        <w:rPr>
          <w:rFonts w:ascii="Times New Roman" w:eastAsia="Times New Roman" w:hAnsi="Times New Roman" w:cs="Times New Roman"/>
          <w:sz w:val="28"/>
          <w:szCs w:val="28"/>
          <w:lang w:val="en-US" w:eastAsia="ru-RU"/>
        </w:rPr>
        <w:t xml:space="preserve"> railway project, A. </w:t>
      </w:r>
      <w:proofErr w:type="spellStart"/>
      <w:r w:rsidRPr="00982D01">
        <w:rPr>
          <w:rFonts w:ascii="Times New Roman" w:eastAsia="Times New Roman" w:hAnsi="Times New Roman" w:cs="Times New Roman"/>
          <w:sz w:val="28"/>
          <w:szCs w:val="28"/>
          <w:lang w:val="en-US" w:eastAsia="ru-RU"/>
        </w:rPr>
        <w:t>Duponchel</w:t>
      </w:r>
      <w:proofErr w:type="spellEnd"/>
      <w:r w:rsidRPr="00982D01">
        <w:rPr>
          <w:rFonts w:ascii="Times New Roman" w:eastAsia="Times New Roman" w:hAnsi="Times New Roman" w:cs="Times New Roman"/>
          <w:sz w:val="28"/>
          <w:szCs w:val="28"/>
          <w:lang w:val="en-US" w:eastAsia="ru-RU"/>
        </w:rPr>
        <w:t xml:space="preserve">, inland sea project, F.-E. </w:t>
      </w:r>
      <w:proofErr w:type="spellStart"/>
      <w:r w:rsidRPr="00982D01">
        <w:rPr>
          <w:rFonts w:ascii="Times New Roman" w:eastAsia="Times New Roman" w:hAnsi="Times New Roman" w:cs="Times New Roman"/>
          <w:sz w:val="28"/>
          <w:szCs w:val="28"/>
          <w:lang w:val="en-US" w:eastAsia="ru-RU"/>
        </w:rPr>
        <w:t>Roudaire</w:t>
      </w:r>
      <w:proofErr w:type="spellEnd"/>
      <w:r w:rsidRPr="00982D01">
        <w:rPr>
          <w:rFonts w:ascii="Times New Roman" w:eastAsia="Times New Roman" w:hAnsi="Times New Roman" w:cs="Times New Roman"/>
          <w:sz w:val="28"/>
          <w:szCs w:val="28"/>
          <w:lang w:val="en-US" w:eastAsia="ru-RU"/>
        </w:rPr>
        <w:t xml:space="preserve">, </w:t>
      </w:r>
      <w:proofErr w:type="spellStart"/>
      <w:r w:rsidRPr="00982D01">
        <w:rPr>
          <w:rFonts w:ascii="Times New Roman" w:eastAsia="Times New Roman" w:hAnsi="Times New Roman" w:cs="Times New Roman"/>
          <w:sz w:val="28"/>
          <w:szCs w:val="28"/>
          <w:lang w:val="en-US" w:eastAsia="ru-RU"/>
        </w:rPr>
        <w:t>Soleillet</w:t>
      </w:r>
      <w:proofErr w:type="spellEnd"/>
      <w:r w:rsidRPr="00982D01">
        <w:rPr>
          <w:rFonts w:ascii="Times New Roman" w:eastAsia="Times New Roman" w:hAnsi="Times New Roman" w:cs="Times New Roman"/>
          <w:sz w:val="28"/>
          <w:szCs w:val="28"/>
          <w:lang w:val="en-US" w:eastAsia="ru-RU"/>
        </w:rPr>
        <w:t xml:space="preserve"> Paul, Algeria, Tunisia, image of the Sahara, French colonies.</w:t>
      </w:r>
    </w:p>
    <w:p w14:paraId="5C79FEA3" w14:textId="5DF6818C" w:rsidR="003578B6" w:rsidRDefault="003578B6" w:rsidP="003578B6">
      <w:pPr>
        <w:spacing w:after="0" w:line="360" w:lineRule="auto"/>
        <w:ind w:firstLine="709"/>
        <w:jc w:val="both"/>
        <w:rPr>
          <w:rFonts w:ascii="Times New Roman" w:hAnsi="Times New Roman" w:cs="Times New Roman"/>
          <w:b/>
          <w:bCs/>
          <w:sz w:val="28"/>
          <w:szCs w:val="28"/>
          <w:lang w:val="en-US"/>
        </w:rPr>
      </w:pPr>
    </w:p>
    <w:p w14:paraId="24F3E663" w14:textId="77777777" w:rsidR="003578B6" w:rsidRPr="00982D01" w:rsidRDefault="003578B6" w:rsidP="003578B6">
      <w:pPr>
        <w:spacing w:line="360" w:lineRule="auto"/>
        <w:ind w:firstLine="709"/>
        <w:rPr>
          <w:rFonts w:ascii="Times New Roman" w:hAnsi="Times New Roman" w:cs="Times New Roman"/>
          <w:b/>
          <w:bCs/>
          <w:sz w:val="28"/>
          <w:szCs w:val="28"/>
        </w:rPr>
      </w:pPr>
      <w:r w:rsidRPr="00982D01">
        <w:rPr>
          <w:rFonts w:ascii="Times New Roman" w:hAnsi="Times New Roman" w:cs="Times New Roman"/>
          <w:b/>
          <w:bCs/>
          <w:sz w:val="28"/>
          <w:szCs w:val="28"/>
        </w:rPr>
        <w:t>УДК 94(411).07</w:t>
      </w:r>
    </w:p>
    <w:p w14:paraId="3BDA1DCF" w14:textId="77777777" w:rsidR="003578B6" w:rsidRDefault="003578B6" w:rsidP="003578B6">
      <w:pPr>
        <w:spacing w:line="360" w:lineRule="auto"/>
        <w:ind w:firstLine="709"/>
        <w:jc w:val="right"/>
        <w:rPr>
          <w:rFonts w:ascii="Times New Roman" w:hAnsi="Times New Roman" w:cs="Times New Roman"/>
          <w:b/>
          <w:sz w:val="28"/>
          <w:szCs w:val="28"/>
        </w:rPr>
      </w:pPr>
      <w:r w:rsidRPr="00EC56B9">
        <w:rPr>
          <w:rFonts w:ascii="Times New Roman" w:hAnsi="Times New Roman" w:cs="Times New Roman"/>
          <w:b/>
          <w:sz w:val="28"/>
          <w:szCs w:val="28"/>
        </w:rPr>
        <w:t>http://doi.org/</w:t>
      </w:r>
      <w:r w:rsidRPr="00EC56B9">
        <w:t xml:space="preserve"> </w:t>
      </w:r>
      <w:r w:rsidRPr="00EC56B9">
        <w:rPr>
          <w:rFonts w:ascii="Times New Roman" w:hAnsi="Times New Roman" w:cs="Times New Roman"/>
          <w:b/>
          <w:sz w:val="28"/>
          <w:szCs w:val="28"/>
        </w:rPr>
        <w:t>10.37493/2409-1030.2022.2.10</w:t>
      </w:r>
    </w:p>
    <w:p w14:paraId="39B670BB" w14:textId="77777777" w:rsidR="003578B6" w:rsidRPr="00982D01" w:rsidRDefault="003578B6" w:rsidP="003578B6">
      <w:pPr>
        <w:spacing w:line="360" w:lineRule="auto"/>
        <w:ind w:firstLine="709"/>
        <w:jc w:val="right"/>
        <w:rPr>
          <w:rFonts w:ascii="Times New Roman" w:hAnsi="Times New Roman" w:cs="Times New Roman"/>
          <w:b/>
          <w:sz w:val="28"/>
          <w:szCs w:val="28"/>
        </w:rPr>
      </w:pPr>
      <w:r w:rsidRPr="00982D01">
        <w:rPr>
          <w:rFonts w:ascii="Times New Roman" w:hAnsi="Times New Roman" w:cs="Times New Roman"/>
          <w:b/>
          <w:sz w:val="28"/>
          <w:szCs w:val="28"/>
        </w:rPr>
        <w:t>М.А. Мухин</w:t>
      </w:r>
    </w:p>
    <w:p w14:paraId="270F8A4E" w14:textId="77777777" w:rsidR="003578B6" w:rsidRPr="00982D01" w:rsidRDefault="003578B6" w:rsidP="003578B6">
      <w:pPr>
        <w:spacing w:line="360" w:lineRule="auto"/>
        <w:ind w:firstLine="709"/>
        <w:jc w:val="center"/>
        <w:rPr>
          <w:rFonts w:ascii="Times New Roman" w:hAnsi="Times New Roman" w:cs="Times New Roman"/>
          <w:b/>
          <w:sz w:val="28"/>
          <w:szCs w:val="28"/>
        </w:rPr>
      </w:pPr>
      <w:r w:rsidRPr="00982D01">
        <w:rPr>
          <w:rFonts w:ascii="Times New Roman" w:hAnsi="Times New Roman" w:cs="Times New Roman"/>
          <w:b/>
          <w:sz w:val="28"/>
          <w:szCs w:val="28"/>
        </w:rPr>
        <w:t>СОДЕРЖАНИЕ ИЗБИРАТЕЛЬНОЙ БОРЬБЫ В ГРАФСТВАХ ШОТЛАНДИИ НА ВЫБОРАХ В ПАЛАТУ ОБЩИН ВЕЛИКОБРИТАНИИ (1707–1832)</w:t>
      </w:r>
    </w:p>
    <w:p w14:paraId="1A399A0C" w14:textId="77777777" w:rsidR="003578B6" w:rsidRPr="00982D01" w:rsidRDefault="003578B6" w:rsidP="003578B6">
      <w:pPr>
        <w:spacing w:line="360" w:lineRule="auto"/>
        <w:ind w:firstLine="709"/>
        <w:jc w:val="both"/>
        <w:rPr>
          <w:rFonts w:ascii="Times New Roman" w:hAnsi="Times New Roman" w:cs="Times New Roman"/>
          <w:sz w:val="28"/>
          <w:szCs w:val="28"/>
        </w:rPr>
      </w:pPr>
      <w:r w:rsidRPr="00982D01">
        <w:rPr>
          <w:rFonts w:ascii="Times New Roman" w:hAnsi="Times New Roman" w:cs="Times New Roman"/>
          <w:sz w:val="28"/>
          <w:szCs w:val="28"/>
        </w:rPr>
        <w:t>В рамках статьи рассматривается</w:t>
      </w:r>
      <w:r w:rsidRPr="00982D01">
        <w:t xml:space="preserve"> </w:t>
      </w:r>
      <w:r w:rsidRPr="00982D01">
        <w:rPr>
          <w:rFonts w:ascii="Times New Roman" w:hAnsi="Times New Roman" w:cs="Times New Roman"/>
          <w:sz w:val="28"/>
          <w:szCs w:val="28"/>
        </w:rPr>
        <w:t xml:space="preserve">содержание избирательной борьбы в парламент Великобритании в графствах Шотландии в условиях, когда набор правил, процессов, составляющих электоральную систему, был абсолютно дискредитирован. Традиционно исследователи (Р.М. </w:t>
      </w:r>
      <w:proofErr w:type="spellStart"/>
      <w:r w:rsidRPr="00982D01">
        <w:rPr>
          <w:rFonts w:ascii="Times New Roman" w:hAnsi="Times New Roman" w:cs="Times New Roman"/>
          <w:sz w:val="28"/>
          <w:szCs w:val="28"/>
        </w:rPr>
        <w:t>Сантер</w:t>
      </w:r>
      <w:proofErr w:type="spellEnd"/>
      <w:r w:rsidRPr="00982D01">
        <w:rPr>
          <w:rFonts w:ascii="Times New Roman" w:hAnsi="Times New Roman" w:cs="Times New Roman"/>
          <w:sz w:val="28"/>
          <w:szCs w:val="28"/>
        </w:rPr>
        <w:t xml:space="preserve">, Дж. Фергюсон, А. Мердок, В. Фергюсон) акцентировали внимание на центральной роли </w:t>
      </w:r>
      <w:r w:rsidRPr="00982D01">
        <w:rPr>
          <w:rFonts w:ascii="Times New Roman" w:hAnsi="Times New Roman" w:cs="Times New Roman"/>
          <w:sz w:val="28"/>
          <w:szCs w:val="28"/>
        </w:rPr>
        <w:lastRenderedPageBreak/>
        <w:t>системы патронажа и личных отношений на исход выборов в шотландских графствах. Также историки сходятся в позиции, что земельный ценз являлся причиной маленького числа избирателей, а возможность формальной передачи земельной собственности в пожизненное пользование – основанием для существования фиктивных избирателей. Однако, исследователи не акцентируют внимание на той степени, в какой распределение земельной собственности определяло содержание избирательной борьбы в различных регионах.</w:t>
      </w:r>
    </w:p>
    <w:p w14:paraId="2ED76B51" w14:textId="77777777" w:rsidR="003578B6" w:rsidRPr="00982D01" w:rsidRDefault="003578B6" w:rsidP="003578B6">
      <w:pPr>
        <w:spacing w:line="360" w:lineRule="auto"/>
        <w:ind w:firstLine="709"/>
        <w:jc w:val="both"/>
        <w:rPr>
          <w:rFonts w:ascii="Times New Roman" w:hAnsi="Times New Roman" w:cs="Times New Roman"/>
          <w:sz w:val="28"/>
          <w:szCs w:val="28"/>
        </w:rPr>
      </w:pPr>
      <w:r w:rsidRPr="00982D01">
        <w:rPr>
          <w:rFonts w:ascii="Times New Roman" w:hAnsi="Times New Roman" w:cs="Times New Roman"/>
          <w:sz w:val="28"/>
          <w:szCs w:val="28"/>
        </w:rPr>
        <w:t xml:space="preserve">В основе исследования лежит источник «Взгляд на политическое состояние Шотландии в прошлом веке. Конфиденциальный отчет о политических взглядах, семейных связях и личных обстоятельствах 2662 избирателей округов в 1788 году». Упомянутый труд включает информацию обо всех избирателях и о ситуации с выборами в каждом из графств. С опорой на источник выявляется влияние распределения земельной собственности на процесс избирательной борьбы в графствах Шотландии. Указывается, что величина и число поместий задавали рамки системы, существовавшей в графствах, во много определяя содержание избирательной борьбы. Анализ источника показывает, что в графствах исходя из распределения земельной собственности, могли быть диаметрально противоположные ситуации. Например, в одном графстве, личные отношения между местными политическими </w:t>
      </w:r>
      <w:proofErr w:type="spellStart"/>
      <w:r w:rsidRPr="00982D01">
        <w:rPr>
          <w:rFonts w:ascii="Times New Roman" w:hAnsi="Times New Roman" w:cs="Times New Roman"/>
          <w:sz w:val="28"/>
          <w:szCs w:val="28"/>
        </w:rPr>
        <w:t>акторами</w:t>
      </w:r>
      <w:proofErr w:type="spellEnd"/>
      <w:r w:rsidRPr="00982D01">
        <w:rPr>
          <w:rFonts w:ascii="Times New Roman" w:hAnsi="Times New Roman" w:cs="Times New Roman"/>
          <w:sz w:val="28"/>
          <w:szCs w:val="28"/>
        </w:rPr>
        <w:t xml:space="preserve"> могли оказать ключевое воздействие на исход выборов, если несколько избирателей имели примерно равную земельную собственность (с учетом возможности создания фиктивных голосов), в другом — никакого, если графство контролировал один собственник.</w:t>
      </w:r>
    </w:p>
    <w:p w14:paraId="193CDBAB" w14:textId="77777777" w:rsidR="003578B6" w:rsidRDefault="003578B6" w:rsidP="003578B6">
      <w:pPr>
        <w:spacing w:line="360" w:lineRule="auto"/>
        <w:ind w:firstLine="709"/>
        <w:jc w:val="both"/>
        <w:rPr>
          <w:rFonts w:ascii="Times New Roman" w:hAnsi="Times New Roman" w:cs="Times New Roman"/>
          <w:sz w:val="28"/>
          <w:szCs w:val="28"/>
        </w:rPr>
      </w:pPr>
      <w:r w:rsidRPr="00982D01">
        <w:rPr>
          <w:rFonts w:ascii="Times New Roman" w:hAnsi="Times New Roman" w:cs="Times New Roman"/>
          <w:b/>
          <w:sz w:val="28"/>
          <w:szCs w:val="28"/>
        </w:rPr>
        <w:t xml:space="preserve">Ключевые слова: </w:t>
      </w:r>
      <w:r w:rsidRPr="00982D01">
        <w:rPr>
          <w:rFonts w:ascii="Times New Roman" w:hAnsi="Times New Roman" w:cs="Times New Roman"/>
          <w:sz w:val="28"/>
          <w:szCs w:val="28"/>
        </w:rPr>
        <w:t>Шотландия</w:t>
      </w:r>
      <w:r w:rsidRPr="00982D01">
        <w:rPr>
          <w:rFonts w:ascii="Times New Roman" w:hAnsi="Times New Roman" w:cs="Times New Roman"/>
          <w:b/>
          <w:sz w:val="28"/>
          <w:szCs w:val="28"/>
        </w:rPr>
        <w:t xml:space="preserve">, </w:t>
      </w:r>
      <w:r w:rsidRPr="00982D01">
        <w:rPr>
          <w:rFonts w:ascii="Times New Roman" w:hAnsi="Times New Roman" w:cs="Times New Roman"/>
          <w:sz w:val="28"/>
          <w:szCs w:val="28"/>
        </w:rPr>
        <w:t>избирательная борьба в Шотландии, Палата общин Великобритании, графства Шотландии, земельный ценз на выборах.</w:t>
      </w:r>
    </w:p>
    <w:p w14:paraId="4EC3EF69" w14:textId="77777777" w:rsidR="003578B6" w:rsidRPr="003578B6" w:rsidRDefault="003578B6" w:rsidP="003578B6">
      <w:pPr>
        <w:spacing w:line="360" w:lineRule="auto"/>
        <w:ind w:firstLine="709"/>
        <w:jc w:val="both"/>
      </w:pPr>
    </w:p>
    <w:p w14:paraId="4DC46323" w14:textId="77777777" w:rsidR="003578B6" w:rsidRPr="00982D01" w:rsidRDefault="003578B6" w:rsidP="003578B6">
      <w:pPr>
        <w:spacing w:line="360" w:lineRule="auto"/>
        <w:ind w:firstLine="709"/>
        <w:jc w:val="right"/>
        <w:rPr>
          <w:rFonts w:ascii="Times New Roman" w:hAnsi="Times New Roman" w:cs="Times New Roman"/>
          <w:b/>
          <w:sz w:val="28"/>
          <w:szCs w:val="28"/>
          <w:lang w:val="en-US"/>
        </w:rPr>
      </w:pPr>
      <w:r w:rsidRPr="00982D01">
        <w:rPr>
          <w:rFonts w:ascii="Times New Roman" w:hAnsi="Times New Roman" w:cs="Times New Roman"/>
          <w:b/>
          <w:sz w:val="28"/>
          <w:szCs w:val="28"/>
          <w:lang w:val="en-US"/>
        </w:rPr>
        <w:t>Maksim A. Mukhin</w:t>
      </w:r>
    </w:p>
    <w:p w14:paraId="021C274F" w14:textId="77777777" w:rsidR="003578B6" w:rsidRPr="00982D01" w:rsidRDefault="003578B6" w:rsidP="003578B6">
      <w:pPr>
        <w:spacing w:line="360" w:lineRule="auto"/>
        <w:jc w:val="center"/>
        <w:rPr>
          <w:rFonts w:ascii="Times New Roman" w:hAnsi="Times New Roman" w:cs="Times New Roman"/>
          <w:b/>
          <w:sz w:val="28"/>
          <w:szCs w:val="28"/>
          <w:lang w:val="en-US"/>
        </w:rPr>
      </w:pPr>
      <w:r w:rsidRPr="00982D01">
        <w:rPr>
          <w:rFonts w:ascii="Times New Roman" w:hAnsi="Times New Roman" w:cs="Times New Roman"/>
          <w:b/>
          <w:sz w:val="28"/>
          <w:szCs w:val="28"/>
          <w:lang w:val="en-US"/>
        </w:rPr>
        <w:lastRenderedPageBreak/>
        <w:t>THE ESSENCE OF ELECTORIAL STRUGGLE IN THE SCOTTISH COUNTIES DURING THE ELECTIONS TO THE HOUSE OF COMMONS OF THE UNITED KINGDOM (1707 – 1832)</w:t>
      </w:r>
    </w:p>
    <w:p w14:paraId="0D1CC344" w14:textId="77777777" w:rsidR="003578B6" w:rsidRPr="00982D01" w:rsidRDefault="003578B6" w:rsidP="003578B6">
      <w:pPr>
        <w:spacing w:line="360" w:lineRule="auto"/>
        <w:ind w:firstLine="709"/>
        <w:jc w:val="both"/>
        <w:rPr>
          <w:rFonts w:ascii="Times New Roman" w:hAnsi="Times New Roman" w:cs="Times New Roman"/>
          <w:sz w:val="28"/>
          <w:szCs w:val="28"/>
          <w:lang w:val="en-US"/>
        </w:rPr>
      </w:pPr>
      <w:r w:rsidRPr="00982D01">
        <w:rPr>
          <w:rFonts w:ascii="Times New Roman" w:hAnsi="Times New Roman" w:cs="Times New Roman"/>
          <w:sz w:val="28"/>
          <w:szCs w:val="28"/>
          <w:lang w:val="en-US"/>
        </w:rPr>
        <w:t xml:space="preserve">In this article the researcher examines the essence of the struggle to be elected to the UK Parliament in Scottish counties in the context of rules, processes comprising the </w:t>
      </w:r>
      <w:proofErr w:type="spellStart"/>
      <w:r w:rsidRPr="00982D01">
        <w:rPr>
          <w:rFonts w:ascii="Times New Roman" w:hAnsi="Times New Roman" w:cs="Times New Roman"/>
          <w:sz w:val="28"/>
          <w:szCs w:val="28"/>
          <w:lang w:val="en-US"/>
        </w:rPr>
        <w:t>electorial</w:t>
      </w:r>
      <w:proofErr w:type="spellEnd"/>
      <w:r w:rsidRPr="00982D01">
        <w:rPr>
          <w:rFonts w:ascii="Times New Roman" w:hAnsi="Times New Roman" w:cs="Times New Roman"/>
          <w:sz w:val="28"/>
          <w:szCs w:val="28"/>
          <w:lang w:val="en-US"/>
        </w:rPr>
        <w:t xml:space="preserve"> system being completely discredited. Traditionally, researchers (R.M. </w:t>
      </w:r>
      <w:proofErr w:type="spellStart"/>
      <w:r w:rsidRPr="00982D01">
        <w:rPr>
          <w:rFonts w:ascii="Times New Roman" w:hAnsi="Times New Roman" w:cs="Times New Roman"/>
          <w:sz w:val="28"/>
          <w:szCs w:val="28"/>
          <w:lang w:val="en-US"/>
        </w:rPr>
        <w:t>Sunter</w:t>
      </w:r>
      <w:proofErr w:type="spellEnd"/>
      <w:r w:rsidRPr="00982D01">
        <w:rPr>
          <w:rFonts w:ascii="Times New Roman" w:hAnsi="Times New Roman" w:cs="Times New Roman"/>
          <w:sz w:val="28"/>
          <w:szCs w:val="28"/>
          <w:lang w:val="en-US"/>
        </w:rPr>
        <w:t>,</w:t>
      </w:r>
      <w:r w:rsidRPr="00982D01">
        <w:rPr>
          <w:lang w:val="en-US"/>
        </w:rPr>
        <w:t xml:space="preserve"> </w:t>
      </w:r>
      <w:r w:rsidRPr="00982D01">
        <w:rPr>
          <w:rFonts w:ascii="Times New Roman" w:hAnsi="Times New Roman" w:cs="Times New Roman"/>
          <w:sz w:val="28"/>
          <w:szCs w:val="28"/>
          <w:lang w:val="en-US"/>
        </w:rPr>
        <w:t>J. Ferguson,</w:t>
      </w:r>
      <w:r w:rsidRPr="00982D01">
        <w:rPr>
          <w:lang w:val="en-US"/>
        </w:rPr>
        <w:t xml:space="preserve"> </w:t>
      </w:r>
      <w:r w:rsidRPr="00982D01">
        <w:rPr>
          <w:rFonts w:ascii="Times New Roman" w:hAnsi="Times New Roman" w:cs="Times New Roman"/>
          <w:sz w:val="28"/>
          <w:szCs w:val="28"/>
          <w:lang w:val="en-US"/>
        </w:rPr>
        <w:t>A. Murdoch,</w:t>
      </w:r>
      <w:r w:rsidRPr="00982D01">
        <w:rPr>
          <w:lang w:val="en-US"/>
        </w:rPr>
        <w:t xml:space="preserve"> </w:t>
      </w:r>
      <w:r w:rsidRPr="00982D01">
        <w:rPr>
          <w:rFonts w:ascii="Times New Roman" w:hAnsi="Times New Roman" w:cs="Times New Roman"/>
          <w:sz w:val="28"/>
          <w:szCs w:val="28"/>
          <w:lang w:val="en-US"/>
        </w:rPr>
        <w:t>W. Ferguson) concentrated their attention on the dominant role of patronage and personal relations on the outcome of elections in Scottish counties. Historians also agree that land qualification was the reason of the small number of voters and that the possibility of formal land cessions for life led to fictitious voters. However, researchers do not pay enough attention to the scale that land distribution influenced electoral struggle in different regions.</w:t>
      </w:r>
    </w:p>
    <w:p w14:paraId="237BB8B6" w14:textId="77777777" w:rsidR="003578B6" w:rsidRPr="00982D01" w:rsidRDefault="003578B6" w:rsidP="003578B6">
      <w:pPr>
        <w:spacing w:line="360" w:lineRule="auto"/>
        <w:ind w:firstLine="709"/>
        <w:jc w:val="both"/>
        <w:rPr>
          <w:rFonts w:ascii="Times New Roman" w:hAnsi="Times New Roman" w:cs="Times New Roman"/>
          <w:sz w:val="28"/>
          <w:szCs w:val="28"/>
          <w:lang w:val="en-US"/>
        </w:rPr>
      </w:pPr>
      <w:r w:rsidRPr="00982D01">
        <w:rPr>
          <w:rFonts w:ascii="Times New Roman" w:hAnsi="Times New Roman" w:cs="Times New Roman"/>
          <w:sz w:val="28"/>
          <w:szCs w:val="28"/>
          <w:lang w:val="en-US"/>
        </w:rPr>
        <w:t>The research is based on the source "View of the political state of Scotland in the last century: a confidential report on the political opinions, family connections, or personal circumstances of the 2662 county voters in 1788". The aforementioned work contains information on all the voters and on the electoral situation in each of the counties. Based on this source the researchers determine the extent to which land distributions influenced the election process in Scottish counties. The authors come to the conclusion that the size and the number of estates created the framework of the system existing in the counties and thus largely determined the outcome of the elections. The analysis of the source reveals that depending on the land distributions counties could have completely different situations. For example, in one county personal relations between local political actors could have major influence on the outcome of the elections if several voters had more or less equal land ownership (including the possible fictitious votes), and no influence in another if the said county was controlled by a single landholder.</w:t>
      </w:r>
    </w:p>
    <w:p w14:paraId="5C69E0A5" w14:textId="77777777" w:rsidR="003578B6" w:rsidRDefault="003578B6" w:rsidP="003578B6">
      <w:pPr>
        <w:spacing w:line="360" w:lineRule="auto"/>
        <w:ind w:firstLine="709"/>
        <w:jc w:val="both"/>
        <w:rPr>
          <w:rFonts w:ascii="Times New Roman" w:hAnsi="Times New Roman" w:cs="Times New Roman"/>
          <w:sz w:val="28"/>
          <w:szCs w:val="28"/>
          <w:lang w:val="en-US"/>
        </w:rPr>
      </w:pPr>
      <w:r w:rsidRPr="00982D01">
        <w:rPr>
          <w:rFonts w:ascii="Times New Roman" w:hAnsi="Times New Roman" w:cs="Times New Roman"/>
          <w:b/>
          <w:sz w:val="28"/>
          <w:szCs w:val="28"/>
          <w:lang w:val="en-US"/>
        </w:rPr>
        <w:t xml:space="preserve">Key words: </w:t>
      </w:r>
      <w:r w:rsidRPr="00982D01">
        <w:rPr>
          <w:rFonts w:ascii="Times New Roman" w:hAnsi="Times New Roman" w:cs="Times New Roman"/>
          <w:sz w:val="28"/>
          <w:szCs w:val="28"/>
          <w:lang w:val="en-US"/>
        </w:rPr>
        <w:t>Scotland, electoral struggle in Scotland, the House of Commons, Scottish counties, land qualification.</w:t>
      </w:r>
    </w:p>
    <w:p w14:paraId="54D4B7D7" w14:textId="77777777" w:rsidR="003578B6" w:rsidRDefault="003578B6" w:rsidP="003578B6">
      <w:pPr>
        <w:spacing w:after="0" w:line="360" w:lineRule="auto"/>
        <w:ind w:firstLine="709"/>
        <w:jc w:val="both"/>
        <w:rPr>
          <w:rFonts w:ascii="Times New Roman" w:hAnsi="Times New Roman" w:cs="Times New Roman"/>
          <w:b/>
          <w:bCs/>
          <w:sz w:val="28"/>
          <w:szCs w:val="28"/>
          <w:lang w:val="en-US"/>
        </w:rPr>
      </w:pPr>
    </w:p>
    <w:p w14:paraId="30694BA5" w14:textId="77777777" w:rsidR="003578B6" w:rsidRDefault="003578B6" w:rsidP="003578B6">
      <w:pPr>
        <w:spacing w:after="0" w:line="360" w:lineRule="auto"/>
        <w:rPr>
          <w:rFonts w:ascii="Times New Roman" w:hAnsi="Times New Roman" w:cs="Times New Roman"/>
          <w:b/>
          <w:bCs/>
          <w:sz w:val="28"/>
          <w:szCs w:val="28"/>
        </w:rPr>
      </w:pPr>
      <w:r w:rsidRPr="00982D01">
        <w:rPr>
          <w:rFonts w:ascii="Times New Roman" w:hAnsi="Times New Roman" w:cs="Times New Roman"/>
          <w:b/>
          <w:bCs/>
          <w:sz w:val="28"/>
          <w:szCs w:val="28"/>
        </w:rPr>
        <w:lastRenderedPageBreak/>
        <w:t>УДК 908(470)</w:t>
      </w:r>
    </w:p>
    <w:p w14:paraId="5287CAFD" w14:textId="77777777" w:rsidR="003578B6" w:rsidRPr="00982D01" w:rsidRDefault="003578B6" w:rsidP="003578B6">
      <w:pPr>
        <w:spacing w:after="0" w:line="360" w:lineRule="auto"/>
        <w:jc w:val="right"/>
        <w:rPr>
          <w:rFonts w:ascii="Times New Roman" w:hAnsi="Times New Roman" w:cs="Times New Roman"/>
          <w:b/>
          <w:bCs/>
          <w:sz w:val="28"/>
          <w:szCs w:val="28"/>
        </w:rPr>
      </w:pPr>
      <w:r w:rsidRPr="00AF1310">
        <w:rPr>
          <w:rFonts w:ascii="Times New Roman" w:hAnsi="Times New Roman" w:cs="Times New Roman"/>
          <w:b/>
          <w:bCs/>
          <w:sz w:val="28"/>
          <w:szCs w:val="28"/>
        </w:rPr>
        <w:t>http://doi.org/10.37493/2409-1030.2022.2.11</w:t>
      </w:r>
    </w:p>
    <w:p w14:paraId="3E8321C7" w14:textId="77777777" w:rsidR="003578B6" w:rsidRPr="00982D01" w:rsidRDefault="003578B6" w:rsidP="003578B6">
      <w:pPr>
        <w:spacing w:after="0" w:line="360" w:lineRule="auto"/>
        <w:jc w:val="right"/>
        <w:rPr>
          <w:rFonts w:ascii="Times New Roman" w:hAnsi="Times New Roman" w:cs="Times New Roman"/>
          <w:b/>
          <w:sz w:val="28"/>
          <w:szCs w:val="28"/>
        </w:rPr>
      </w:pPr>
      <w:r w:rsidRPr="00982D01">
        <w:rPr>
          <w:rFonts w:ascii="Times New Roman" w:hAnsi="Times New Roman" w:cs="Times New Roman"/>
          <w:b/>
          <w:sz w:val="28"/>
          <w:szCs w:val="28"/>
        </w:rPr>
        <w:t xml:space="preserve">А.Ю. </w:t>
      </w:r>
      <w:proofErr w:type="spellStart"/>
      <w:r w:rsidRPr="00982D01">
        <w:rPr>
          <w:rFonts w:ascii="Times New Roman" w:hAnsi="Times New Roman" w:cs="Times New Roman"/>
          <w:b/>
          <w:sz w:val="28"/>
          <w:szCs w:val="28"/>
        </w:rPr>
        <w:t>Перетятько</w:t>
      </w:r>
      <w:proofErr w:type="spellEnd"/>
    </w:p>
    <w:p w14:paraId="47B3AF47" w14:textId="77777777" w:rsidR="003578B6" w:rsidRPr="00982D01" w:rsidRDefault="003578B6" w:rsidP="003578B6">
      <w:pPr>
        <w:spacing w:after="0" w:line="360" w:lineRule="auto"/>
        <w:jc w:val="right"/>
        <w:rPr>
          <w:rFonts w:ascii="Times New Roman" w:hAnsi="Times New Roman" w:cs="Times New Roman"/>
          <w:b/>
          <w:sz w:val="28"/>
          <w:szCs w:val="28"/>
        </w:rPr>
      </w:pPr>
      <w:r w:rsidRPr="00982D01">
        <w:rPr>
          <w:rFonts w:ascii="Times New Roman" w:hAnsi="Times New Roman" w:cs="Times New Roman"/>
          <w:b/>
          <w:sz w:val="28"/>
          <w:szCs w:val="28"/>
        </w:rPr>
        <w:t>К.Т. Абдуллаева</w:t>
      </w:r>
    </w:p>
    <w:p w14:paraId="5358046B" w14:textId="77777777" w:rsidR="003578B6" w:rsidRPr="00982D01" w:rsidRDefault="003578B6" w:rsidP="003578B6">
      <w:pPr>
        <w:spacing w:after="0" w:line="360" w:lineRule="auto"/>
        <w:ind w:firstLine="709"/>
        <w:jc w:val="center"/>
        <w:rPr>
          <w:rFonts w:ascii="Times New Roman" w:hAnsi="Times New Roman" w:cs="Times New Roman"/>
          <w:b/>
          <w:sz w:val="28"/>
          <w:szCs w:val="28"/>
        </w:rPr>
      </w:pPr>
      <w:r w:rsidRPr="00982D01">
        <w:rPr>
          <w:rFonts w:ascii="Times New Roman" w:hAnsi="Times New Roman" w:cs="Times New Roman"/>
          <w:b/>
          <w:sz w:val="28"/>
          <w:szCs w:val="28"/>
        </w:rPr>
        <w:t xml:space="preserve">ВЫУЧЕННАЯ БЕСПОМОЩНОСТЬ КАК ФАКТОР ОБЕДНЕНИЯ ДОНСКОГО КАЗАЧЕСТВА НА РУБЕЖЕ </w:t>
      </w:r>
      <w:r w:rsidRPr="00982D01">
        <w:rPr>
          <w:rFonts w:ascii="Times New Roman" w:hAnsi="Times New Roman" w:cs="Times New Roman"/>
          <w:b/>
          <w:sz w:val="28"/>
          <w:szCs w:val="28"/>
          <w:lang w:val="en-US"/>
        </w:rPr>
        <w:t>XIX</w:t>
      </w:r>
      <w:r w:rsidRPr="00982D01">
        <w:rPr>
          <w:rFonts w:ascii="Times New Roman" w:hAnsi="Times New Roman" w:cs="Times New Roman"/>
          <w:b/>
          <w:sz w:val="28"/>
          <w:szCs w:val="28"/>
        </w:rPr>
        <w:t xml:space="preserve"> – </w:t>
      </w:r>
      <w:r w:rsidRPr="00982D01">
        <w:rPr>
          <w:rFonts w:ascii="Times New Roman" w:hAnsi="Times New Roman" w:cs="Times New Roman"/>
          <w:b/>
          <w:sz w:val="28"/>
          <w:szCs w:val="28"/>
          <w:lang w:val="en-US"/>
        </w:rPr>
        <w:t>XX</w:t>
      </w:r>
      <w:r w:rsidRPr="00982D01">
        <w:rPr>
          <w:rFonts w:ascii="Times New Roman" w:hAnsi="Times New Roman" w:cs="Times New Roman"/>
          <w:b/>
          <w:sz w:val="28"/>
          <w:szCs w:val="28"/>
        </w:rPr>
        <w:t xml:space="preserve"> ВВ.</w:t>
      </w:r>
    </w:p>
    <w:p w14:paraId="72AE5D9A" w14:textId="77777777" w:rsidR="003578B6" w:rsidRPr="00982D01" w:rsidRDefault="003578B6" w:rsidP="003578B6">
      <w:pPr>
        <w:spacing w:after="0" w:line="360" w:lineRule="auto"/>
        <w:ind w:firstLine="709"/>
        <w:jc w:val="both"/>
        <w:rPr>
          <w:rFonts w:ascii="Times New Roman" w:hAnsi="Times New Roman" w:cs="Times New Roman"/>
          <w:bCs/>
          <w:sz w:val="28"/>
          <w:szCs w:val="28"/>
        </w:rPr>
      </w:pPr>
      <w:r w:rsidRPr="00982D01">
        <w:rPr>
          <w:rFonts w:ascii="Times New Roman" w:hAnsi="Times New Roman" w:cs="Times New Roman"/>
          <w:bCs/>
          <w:sz w:val="28"/>
          <w:szCs w:val="28"/>
        </w:rPr>
        <w:t xml:space="preserve">В статье предпринимается попытка проанализировать психологические причины обеднения донских казачьих хозяйств конца </w:t>
      </w:r>
      <w:r w:rsidRPr="00982D01">
        <w:rPr>
          <w:rFonts w:ascii="Times New Roman" w:hAnsi="Times New Roman" w:cs="Times New Roman"/>
          <w:bCs/>
          <w:sz w:val="28"/>
          <w:szCs w:val="28"/>
          <w:lang w:val="en-US"/>
        </w:rPr>
        <w:t>XIX</w:t>
      </w:r>
      <w:r w:rsidRPr="00982D01">
        <w:rPr>
          <w:rFonts w:ascii="Times New Roman" w:hAnsi="Times New Roman" w:cs="Times New Roman"/>
          <w:bCs/>
          <w:sz w:val="28"/>
          <w:szCs w:val="28"/>
        </w:rPr>
        <w:t xml:space="preserve"> – начала </w:t>
      </w:r>
      <w:r w:rsidRPr="00982D01">
        <w:rPr>
          <w:rFonts w:ascii="Times New Roman" w:hAnsi="Times New Roman" w:cs="Times New Roman"/>
          <w:bCs/>
          <w:sz w:val="28"/>
          <w:szCs w:val="28"/>
          <w:lang w:val="en-US"/>
        </w:rPr>
        <w:t>XX</w:t>
      </w:r>
      <w:r w:rsidRPr="00982D01">
        <w:rPr>
          <w:rFonts w:ascii="Times New Roman" w:hAnsi="Times New Roman" w:cs="Times New Roman"/>
          <w:bCs/>
          <w:sz w:val="28"/>
          <w:szCs w:val="28"/>
        </w:rPr>
        <w:t xml:space="preserve"> вв. До настоящего времени не предпринималось попыток применять наработки современной психологии для изучения истории казачества. Более того, некоторыми современными авторами отмечается абстрактность исторической психологии как научной дисциплины, ее неприменимость для решения конкретных исторических проблем. Между тем, еще в 1890 гг. крупный исследователь донского казачества, Н.А. </w:t>
      </w:r>
      <w:proofErr w:type="spellStart"/>
      <w:r w:rsidRPr="00982D01">
        <w:rPr>
          <w:rFonts w:ascii="Times New Roman" w:hAnsi="Times New Roman" w:cs="Times New Roman"/>
          <w:bCs/>
          <w:sz w:val="28"/>
          <w:szCs w:val="28"/>
        </w:rPr>
        <w:t>Маслаковец</w:t>
      </w:r>
      <w:proofErr w:type="spellEnd"/>
      <w:r w:rsidRPr="00982D01">
        <w:rPr>
          <w:rFonts w:ascii="Times New Roman" w:hAnsi="Times New Roman" w:cs="Times New Roman"/>
          <w:bCs/>
          <w:sz w:val="28"/>
          <w:szCs w:val="28"/>
        </w:rPr>
        <w:t xml:space="preserve">, отмечал, что обеднение казачьих хозяйств вызвано как объективными социально-экономическими, так и субъективными психологическими причинами. Вопрос об отсутствии у казаков «личной энергии» в хозяйственной деятельности подробно рассматривался так называемой «комиссией Н.А. </w:t>
      </w:r>
      <w:proofErr w:type="spellStart"/>
      <w:r w:rsidRPr="00982D01">
        <w:rPr>
          <w:rFonts w:ascii="Times New Roman" w:hAnsi="Times New Roman" w:cs="Times New Roman"/>
          <w:bCs/>
          <w:sz w:val="28"/>
          <w:szCs w:val="28"/>
        </w:rPr>
        <w:t>Маслаковца</w:t>
      </w:r>
      <w:proofErr w:type="spellEnd"/>
      <w:r w:rsidRPr="00982D01">
        <w:rPr>
          <w:rFonts w:ascii="Times New Roman" w:hAnsi="Times New Roman" w:cs="Times New Roman"/>
          <w:bCs/>
          <w:sz w:val="28"/>
          <w:szCs w:val="28"/>
        </w:rPr>
        <w:t xml:space="preserve">», заседавшей в Новочеркасске в 1899 г. Однако в историографии вопрос о субъективных психологических причинах обеднения донского казачества не ставился вовсе. Между тем описание психологических проблем казаков современниками позволяет четко классифицировать главную проблему донского казачества как синдром выученной беспомощности. Судя по всему, он начал формироваться в середине </w:t>
      </w:r>
      <w:r w:rsidRPr="00982D01">
        <w:rPr>
          <w:rFonts w:ascii="Times New Roman" w:hAnsi="Times New Roman" w:cs="Times New Roman"/>
          <w:bCs/>
          <w:sz w:val="28"/>
          <w:szCs w:val="28"/>
          <w:lang w:val="en-US"/>
        </w:rPr>
        <w:t>XIX</w:t>
      </w:r>
      <w:r w:rsidRPr="00982D01">
        <w:rPr>
          <w:rFonts w:ascii="Times New Roman" w:hAnsi="Times New Roman" w:cs="Times New Roman"/>
          <w:bCs/>
          <w:sz w:val="28"/>
          <w:szCs w:val="28"/>
        </w:rPr>
        <w:t xml:space="preserve"> в., когда донское казачество оказалось в стрессовых и неподконтрольных ему условиях развития товарной экономики и роста повинностей (ситуативная беспомощность), а в казачьей среде подчинение внутри семьи было дополнено введением военной дисциплины в гражданской жизни (личностная беспомощность). При этом из состояния синдрома выученной беспомощности достаточно трудно выйти самостоятельно, и, с </w:t>
      </w:r>
      <w:r w:rsidRPr="00982D01">
        <w:rPr>
          <w:rFonts w:ascii="Times New Roman" w:hAnsi="Times New Roman" w:cs="Times New Roman"/>
          <w:bCs/>
          <w:sz w:val="28"/>
          <w:szCs w:val="28"/>
        </w:rPr>
        <w:lastRenderedPageBreak/>
        <w:t>точки зрения современной психологии, он должен рассматриваться как значимый фактор обеднения казачьих хозяйств.</w:t>
      </w:r>
    </w:p>
    <w:p w14:paraId="2649C9E5" w14:textId="77777777" w:rsidR="003578B6" w:rsidRPr="00982D01" w:rsidRDefault="003578B6" w:rsidP="003578B6">
      <w:pPr>
        <w:spacing w:after="0" w:line="360" w:lineRule="auto"/>
        <w:ind w:firstLine="709"/>
        <w:jc w:val="both"/>
        <w:rPr>
          <w:rFonts w:ascii="Times New Roman" w:hAnsi="Times New Roman" w:cs="Times New Roman"/>
          <w:sz w:val="28"/>
          <w:szCs w:val="28"/>
        </w:rPr>
      </w:pPr>
      <w:r w:rsidRPr="00982D01">
        <w:rPr>
          <w:rFonts w:ascii="Times New Roman" w:hAnsi="Times New Roman" w:cs="Times New Roman"/>
          <w:b/>
          <w:bCs/>
          <w:sz w:val="28"/>
          <w:szCs w:val="28"/>
        </w:rPr>
        <w:t xml:space="preserve">Ключевые слова: </w:t>
      </w:r>
      <w:r w:rsidRPr="00982D01">
        <w:rPr>
          <w:rFonts w:ascii="Times New Roman" w:hAnsi="Times New Roman" w:cs="Times New Roman"/>
          <w:bCs/>
          <w:sz w:val="28"/>
          <w:szCs w:val="28"/>
        </w:rPr>
        <w:t>историческая психология,</w:t>
      </w:r>
      <w:r w:rsidRPr="00982D01">
        <w:rPr>
          <w:rFonts w:ascii="Times New Roman" w:hAnsi="Times New Roman" w:cs="Times New Roman"/>
          <w:b/>
          <w:bCs/>
          <w:sz w:val="28"/>
          <w:szCs w:val="28"/>
        </w:rPr>
        <w:t xml:space="preserve"> </w:t>
      </w:r>
      <w:r w:rsidRPr="00982D01">
        <w:rPr>
          <w:rFonts w:ascii="Times New Roman" w:hAnsi="Times New Roman" w:cs="Times New Roman"/>
          <w:sz w:val="28"/>
          <w:szCs w:val="28"/>
        </w:rPr>
        <w:t xml:space="preserve">выученная беспомощность, психология отношений с государством, донское казачество, обеднение казачьих хозяйств, комиссия Н.А. </w:t>
      </w:r>
      <w:proofErr w:type="spellStart"/>
      <w:r w:rsidRPr="00982D01">
        <w:rPr>
          <w:rFonts w:ascii="Times New Roman" w:hAnsi="Times New Roman" w:cs="Times New Roman"/>
          <w:sz w:val="28"/>
          <w:szCs w:val="28"/>
        </w:rPr>
        <w:t>Маслаковца</w:t>
      </w:r>
      <w:proofErr w:type="spellEnd"/>
      <w:r w:rsidRPr="00982D01">
        <w:rPr>
          <w:rFonts w:ascii="Times New Roman" w:hAnsi="Times New Roman" w:cs="Times New Roman"/>
          <w:sz w:val="28"/>
          <w:szCs w:val="28"/>
        </w:rPr>
        <w:t>.</w:t>
      </w:r>
    </w:p>
    <w:p w14:paraId="77D30DDC" w14:textId="77777777" w:rsidR="003578B6" w:rsidRPr="00982D01" w:rsidRDefault="003578B6" w:rsidP="003578B6">
      <w:pPr>
        <w:spacing w:after="0" w:line="360" w:lineRule="auto"/>
        <w:jc w:val="right"/>
        <w:rPr>
          <w:rFonts w:ascii="Times New Roman" w:hAnsi="Times New Roman" w:cs="Times New Roman"/>
          <w:b/>
          <w:sz w:val="28"/>
          <w:szCs w:val="28"/>
          <w:lang w:val="en-US"/>
        </w:rPr>
      </w:pPr>
      <w:r w:rsidRPr="00982D01">
        <w:rPr>
          <w:rFonts w:ascii="Times New Roman" w:hAnsi="Times New Roman" w:cs="Times New Roman"/>
          <w:b/>
          <w:sz w:val="28"/>
          <w:szCs w:val="28"/>
          <w:lang w:val="en-US"/>
        </w:rPr>
        <w:t xml:space="preserve">Artyom Yu. </w:t>
      </w:r>
      <w:proofErr w:type="spellStart"/>
      <w:r w:rsidRPr="00982D01">
        <w:rPr>
          <w:rFonts w:ascii="Times New Roman" w:hAnsi="Times New Roman" w:cs="Times New Roman"/>
          <w:b/>
          <w:sz w:val="28"/>
          <w:szCs w:val="28"/>
          <w:lang w:val="en-US"/>
        </w:rPr>
        <w:t>Peretyatko</w:t>
      </w:r>
      <w:proofErr w:type="spellEnd"/>
    </w:p>
    <w:p w14:paraId="76C7AF8C" w14:textId="77777777" w:rsidR="003578B6" w:rsidRPr="00982D01" w:rsidRDefault="003578B6" w:rsidP="003578B6">
      <w:pPr>
        <w:spacing w:after="0" w:line="360" w:lineRule="auto"/>
        <w:jc w:val="right"/>
        <w:rPr>
          <w:rFonts w:ascii="Times New Roman" w:hAnsi="Times New Roman" w:cs="Times New Roman"/>
          <w:b/>
          <w:sz w:val="28"/>
          <w:szCs w:val="28"/>
          <w:lang w:val="en-US"/>
        </w:rPr>
      </w:pPr>
      <w:r w:rsidRPr="00982D01">
        <w:rPr>
          <w:rFonts w:ascii="Times New Roman" w:hAnsi="Times New Roman" w:cs="Times New Roman"/>
          <w:b/>
          <w:sz w:val="28"/>
          <w:szCs w:val="28"/>
          <w:lang w:val="en-US"/>
        </w:rPr>
        <w:t xml:space="preserve">Karina T. </w:t>
      </w:r>
      <w:proofErr w:type="spellStart"/>
      <w:r w:rsidRPr="00982D01">
        <w:rPr>
          <w:rFonts w:ascii="Times New Roman" w:hAnsi="Times New Roman" w:cs="Times New Roman"/>
          <w:b/>
          <w:sz w:val="28"/>
          <w:szCs w:val="28"/>
          <w:lang w:val="en-US"/>
        </w:rPr>
        <w:t>Abdullaeva</w:t>
      </w:r>
      <w:proofErr w:type="spellEnd"/>
    </w:p>
    <w:p w14:paraId="65A68D29" w14:textId="77777777" w:rsidR="003578B6" w:rsidRPr="00982D01" w:rsidRDefault="003578B6" w:rsidP="003578B6">
      <w:pPr>
        <w:spacing w:after="0" w:line="360" w:lineRule="auto"/>
        <w:jc w:val="center"/>
        <w:rPr>
          <w:rFonts w:ascii="Times New Roman" w:hAnsi="Times New Roman" w:cs="Times New Roman"/>
          <w:b/>
          <w:sz w:val="28"/>
          <w:szCs w:val="28"/>
          <w:lang w:val="en-US"/>
        </w:rPr>
      </w:pPr>
      <w:r w:rsidRPr="00982D01">
        <w:rPr>
          <w:rFonts w:ascii="Times New Roman" w:hAnsi="Times New Roman" w:cs="Times New Roman"/>
          <w:b/>
          <w:sz w:val="28"/>
          <w:szCs w:val="28"/>
          <w:lang w:val="en-US"/>
        </w:rPr>
        <w:t>LEARNED HELPINESS AS A FACTOR OF IMPOVERISHMENT OF THE DON COSSACKS AT THE TURN OF THE XIX-XX CENTURIES</w:t>
      </w:r>
    </w:p>
    <w:p w14:paraId="41824F1D" w14:textId="77777777" w:rsidR="003578B6" w:rsidRPr="00982D01" w:rsidRDefault="003578B6" w:rsidP="003578B6">
      <w:pPr>
        <w:spacing w:after="0" w:line="360" w:lineRule="auto"/>
        <w:ind w:firstLine="708"/>
        <w:jc w:val="both"/>
        <w:rPr>
          <w:rFonts w:ascii="Times New Roman" w:hAnsi="Times New Roman" w:cs="Times New Roman"/>
          <w:sz w:val="28"/>
          <w:szCs w:val="28"/>
          <w:lang w:val="en-US"/>
        </w:rPr>
      </w:pPr>
      <w:r w:rsidRPr="00982D01">
        <w:rPr>
          <w:rFonts w:ascii="Times New Roman" w:hAnsi="Times New Roman" w:cs="Times New Roman"/>
          <w:sz w:val="28"/>
          <w:szCs w:val="28"/>
          <w:lang w:val="en-US"/>
        </w:rPr>
        <w:t>The article attempts to analyze the psychological cause for the impoverishment of the Don Cossacks in the late 19th and early 20th centuries. Attempts to apply the developments of modern psychology to study the history of the Cossacks have not been made up to the present time.</w:t>
      </w:r>
      <w:r w:rsidRPr="00982D01">
        <w:rPr>
          <w:lang w:val="en-US"/>
        </w:rPr>
        <w:t xml:space="preserve"> </w:t>
      </w:r>
      <w:r w:rsidRPr="00982D01">
        <w:rPr>
          <w:rFonts w:ascii="Times New Roman" w:hAnsi="Times New Roman" w:cs="Times New Roman"/>
          <w:sz w:val="28"/>
          <w:szCs w:val="28"/>
          <w:lang w:val="en-US"/>
        </w:rPr>
        <w:t xml:space="preserve">Meanwhile, back in 1890 a major researcher of the Don Cossacks N.A. </w:t>
      </w:r>
      <w:proofErr w:type="spellStart"/>
      <w:r w:rsidRPr="00982D01">
        <w:rPr>
          <w:rFonts w:ascii="Times New Roman" w:hAnsi="Times New Roman" w:cs="Times New Roman"/>
          <w:sz w:val="28"/>
          <w:szCs w:val="28"/>
          <w:lang w:val="en-US"/>
        </w:rPr>
        <w:t>Maslakovets</w:t>
      </w:r>
      <w:proofErr w:type="spellEnd"/>
      <w:r w:rsidRPr="00982D01">
        <w:rPr>
          <w:rFonts w:ascii="Times New Roman" w:hAnsi="Times New Roman" w:cs="Times New Roman"/>
          <w:sz w:val="28"/>
          <w:szCs w:val="28"/>
          <w:lang w:val="en-US"/>
        </w:rPr>
        <w:t xml:space="preserve"> noted that the impoverishment of the Cossack farms is caused by both objective socio-economic and subjective psychological causes.</w:t>
      </w:r>
      <w:r w:rsidRPr="00982D01">
        <w:rPr>
          <w:lang w:val="en-US"/>
        </w:rPr>
        <w:t xml:space="preserve"> </w:t>
      </w:r>
      <w:r w:rsidRPr="00982D01">
        <w:rPr>
          <w:rFonts w:ascii="Times New Roman" w:hAnsi="Times New Roman" w:cs="Times New Roman"/>
          <w:sz w:val="28"/>
          <w:szCs w:val="28"/>
          <w:lang w:val="en-US"/>
        </w:rPr>
        <w:t xml:space="preserve">The question about the Cossacks' lack of «personal energy» in economic activity was considered in detail by the so-called «commission of N.A. </w:t>
      </w:r>
      <w:proofErr w:type="spellStart"/>
      <w:r w:rsidRPr="00982D01">
        <w:rPr>
          <w:rFonts w:ascii="Times New Roman" w:hAnsi="Times New Roman" w:cs="Times New Roman"/>
          <w:sz w:val="28"/>
          <w:szCs w:val="28"/>
          <w:lang w:val="en-US"/>
        </w:rPr>
        <w:t>Maslakovets</w:t>
      </w:r>
      <w:proofErr w:type="spellEnd"/>
      <w:r w:rsidRPr="00982D01">
        <w:rPr>
          <w:rFonts w:ascii="Times New Roman" w:hAnsi="Times New Roman" w:cs="Times New Roman"/>
          <w:sz w:val="28"/>
          <w:szCs w:val="28"/>
          <w:lang w:val="en-US"/>
        </w:rPr>
        <w:t>», which met in Novocherkassk in 1899.</w:t>
      </w:r>
      <w:r w:rsidRPr="00982D01">
        <w:rPr>
          <w:lang w:val="en-US"/>
        </w:rPr>
        <w:t xml:space="preserve"> </w:t>
      </w:r>
      <w:r w:rsidRPr="00982D01">
        <w:rPr>
          <w:rFonts w:ascii="Times New Roman" w:hAnsi="Times New Roman" w:cs="Times New Roman"/>
          <w:sz w:val="28"/>
          <w:szCs w:val="28"/>
          <w:lang w:val="en-US"/>
        </w:rPr>
        <w:t>However, historiography did not raise the question about the subjective psychological causes for the impoverishment of the Don Cossacks.</w:t>
      </w:r>
      <w:r w:rsidRPr="00982D01">
        <w:rPr>
          <w:lang w:val="en-US"/>
        </w:rPr>
        <w:t xml:space="preserve"> </w:t>
      </w:r>
      <w:r w:rsidRPr="00982D01">
        <w:rPr>
          <w:rFonts w:ascii="Times New Roman" w:hAnsi="Times New Roman" w:cs="Times New Roman"/>
          <w:sz w:val="28"/>
          <w:szCs w:val="28"/>
          <w:lang w:val="en-US"/>
        </w:rPr>
        <w:t xml:space="preserve">Meanwhile, the description of the psychological problems of the Cossacks by their contemporaries makes it possible to clearly classify the main problem of the Don Cossacks as a syndrome of learned helplessness. Apparently, it began to form in the middle of the 19th century, when the Don Cossacks found themselves in stressful and uncontrollable conditions for the development of a commodity economy and the growth of duties (situational helplessness), and in the Cossack environment, subordination within the family was supplemented by the introduction of military discipline in civil life (personal helplessness). At the same time, it is rather difficult to get out of the state of learned helplessness syndrome on our own, and, from the </w:t>
      </w:r>
      <w:r w:rsidRPr="00982D01">
        <w:rPr>
          <w:rFonts w:ascii="Times New Roman" w:hAnsi="Times New Roman" w:cs="Times New Roman"/>
          <w:sz w:val="28"/>
          <w:szCs w:val="28"/>
          <w:lang w:val="en-US"/>
        </w:rPr>
        <w:lastRenderedPageBreak/>
        <w:t>point of view of modern psychology, it should be considered as a significant factor in the impoverishment of Cossacks.</w:t>
      </w:r>
    </w:p>
    <w:p w14:paraId="3F21D09F" w14:textId="77777777" w:rsidR="003578B6" w:rsidRPr="00982D01" w:rsidRDefault="003578B6" w:rsidP="003578B6">
      <w:pPr>
        <w:spacing w:after="0" w:line="360" w:lineRule="auto"/>
        <w:ind w:firstLine="708"/>
        <w:jc w:val="both"/>
        <w:rPr>
          <w:rFonts w:ascii="Times New Roman" w:hAnsi="Times New Roman" w:cs="Times New Roman"/>
          <w:sz w:val="28"/>
          <w:szCs w:val="28"/>
          <w:lang w:val="en-US"/>
        </w:rPr>
      </w:pPr>
      <w:r w:rsidRPr="00982D01">
        <w:rPr>
          <w:rFonts w:ascii="Times New Roman" w:hAnsi="Times New Roman" w:cs="Times New Roman"/>
          <w:b/>
          <w:sz w:val="28"/>
          <w:szCs w:val="28"/>
          <w:lang w:val="en-US"/>
        </w:rPr>
        <w:t>Keywords:</w:t>
      </w:r>
      <w:r w:rsidRPr="00982D01">
        <w:rPr>
          <w:rFonts w:ascii="Times New Roman" w:hAnsi="Times New Roman" w:cs="Times New Roman"/>
          <w:sz w:val="28"/>
          <w:szCs w:val="28"/>
          <w:lang w:val="en-US"/>
        </w:rPr>
        <w:t xml:space="preserve"> historical psychology, learned helplessness, psychology of relations with the state, Don Cossacks, impoverishment of Cossack farms, commission of N.A. </w:t>
      </w:r>
      <w:proofErr w:type="spellStart"/>
      <w:r w:rsidRPr="00982D01">
        <w:rPr>
          <w:rFonts w:ascii="Times New Roman" w:hAnsi="Times New Roman" w:cs="Times New Roman"/>
          <w:sz w:val="28"/>
          <w:szCs w:val="28"/>
          <w:lang w:val="en-US"/>
        </w:rPr>
        <w:t>Maslakovets</w:t>
      </w:r>
      <w:proofErr w:type="spellEnd"/>
      <w:r w:rsidRPr="00982D01">
        <w:rPr>
          <w:rFonts w:ascii="Times New Roman" w:hAnsi="Times New Roman" w:cs="Times New Roman"/>
          <w:sz w:val="28"/>
          <w:szCs w:val="28"/>
          <w:lang w:val="en-US"/>
        </w:rPr>
        <w:t>.</w:t>
      </w:r>
    </w:p>
    <w:p w14:paraId="0DFCE9E3" w14:textId="49C08F1C" w:rsidR="00DD5667" w:rsidRDefault="00DD5667" w:rsidP="00DD5667">
      <w:pPr>
        <w:pStyle w:val="a4"/>
        <w:spacing w:line="360" w:lineRule="auto"/>
        <w:jc w:val="both"/>
        <w:rPr>
          <w:rFonts w:ascii="Times New Roman" w:hAnsi="Times New Roman" w:cs="Times New Roman"/>
          <w:sz w:val="28"/>
          <w:szCs w:val="28"/>
          <w:lang w:val="en-US"/>
        </w:rPr>
      </w:pPr>
    </w:p>
    <w:p w14:paraId="0DA5B60F" w14:textId="77777777" w:rsidR="003578B6" w:rsidRDefault="003578B6" w:rsidP="003578B6">
      <w:pPr>
        <w:spacing w:after="0" w:line="360" w:lineRule="auto"/>
        <w:rPr>
          <w:rFonts w:ascii="Times New Roman" w:eastAsia="Times New Roman" w:hAnsi="Times New Roman" w:cs="Times New Roman"/>
          <w:b/>
          <w:sz w:val="28"/>
          <w:szCs w:val="28"/>
          <w:lang w:eastAsia="ru-RU"/>
        </w:rPr>
      </w:pPr>
      <w:r w:rsidRPr="00982D01">
        <w:rPr>
          <w:rFonts w:ascii="Times New Roman" w:eastAsia="Times New Roman" w:hAnsi="Times New Roman" w:cs="Times New Roman"/>
          <w:b/>
          <w:sz w:val="28"/>
          <w:szCs w:val="28"/>
          <w:lang w:eastAsia="ru-RU"/>
        </w:rPr>
        <w:t>УДК 94 (436)</w:t>
      </w:r>
    </w:p>
    <w:p w14:paraId="294616D9" w14:textId="77777777" w:rsidR="003578B6" w:rsidRPr="00982D01" w:rsidRDefault="003578B6" w:rsidP="003578B6">
      <w:pPr>
        <w:spacing w:after="0" w:line="360" w:lineRule="auto"/>
        <w:jc w:val="right"/>
        <w:rPr>
          <w:rFonts w:ascii="Times New Roman" w:eastAsia="Times New Roman" w:hAnsi="Times New Roman" w:cs="Times New Roman"/>
          <w:b/>
          <w:sz w:val="28"/>
          <w:szCs w:val="28"/>
          <w:lang w:eastAsia="ru-RU"/>
        </w:rPr>
      </w:pPr>
      <w:r w:rsidRPr="00094C6B">
        <w:rPr>
          <w:rFonts w:ascii="ArialMT" w:eastAsia="ArialMT" w:cs="ArialMT"/>
          <w:sz w:val="16"/>
          <w:szCs w:val="16"/>
        </w:rPr>
        <w:t xml:space="preserve"> </w:t>
      </w:r>
      <w:r w:rsidRPr="00094C6B">
        <w:rPr>
          <w:rFonts w:ascii="Times New Roman" w:eastAsia="Times New Roman" w:hAnsi="Times New Roman" w:cs="Times New Roman"/>
          <w:b/>
          <w:sz w:val="28"/>
          <w:szCs w:val="28"/>
          <w:lang w:eastAsia="ru-RU"/>
        </w:rPr>
        <w:t>http://doi.org/10.37493/2409-1030.2022.1.1</w:t>
      </w:r>
    </w:p>
    <w:p w14:paraId="00E73B8F" w14:textId="77777777" w:rsidR="003578B6" w:rsidRPr="00982D01" w:rsidRDefault="003578B6" w:rsidP="003578B6">
      <w:pPr>
        <w:spacing w:after="0" w:line="36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w:t>
      </w:r>
      <w:r w:rsidRPr="00982D01">
        <w:rPr>
          <w:rFonts w:ascii="Times New Roman" w:eastAsia="Times New Roman" w:hAnsi="Times New Roman" w:cs="Times New Roman"/>
          <w:b/>
          <w:sz w:val="28"/>
          <w:szCs w:val="28"/>
          <w:lang w:eastAsia="ru-RU"/>
        </w:rPr>
        <w:t>Н. Птицын</w:t>
      </w:r>
    </w:p>
    <w:p w14:paraId="41E47D52" w14:textId="77777777" w:rsidR="003578B6" w:rsidRPr="00982D01" w:rsidRDefault="003578B6" w:rsidP="003578B6">
      <w:pPr>
        <w:spacing w:after="0" w:line="360" w:lineRule="auto"/>
        <w:jc w:val="center"/>
        <w:rPr>
          <w:rFonts w:ascii="Times New Roman" w:eastAsia="Times New Roman" w:hAnsi="Times New Roman" w:cs="Times New Roman"/>
          <w:b/>
          <w:sz w:val="28"/>
          <w:szCs w:val="28"/>
          <w:lang w:eastAsia="ru-RU"/>
        </w:rPr>
      </w:pPr>
      <w:r w:rsidRPr="00982D01">
        <w:rPr>
          <w:rFonts w:ascii="Times New Roman" w:eastAsia="Times New Roman" w:hAnsi="Times New Roman" w:cs="Times New Roman"/>
          <w:b/>
          <w:sz w:val="28"/>
          <w:szCs w:val="28"/>
          <w:lang w:eastAsia="ru-RU"/>
        </w:rPr>
        <w:t xml:space="preserve">ЕВРОПЕЙСКИЙ ВЕКТОР АВСТРО-ВЕНГЕРСКОЙ ЭМИГРАЦИИ </w:t>
      </w:r>
    </w:p>
    <w:p w14:paraId="75A8783F" w14:textId="77777777" w:rsidR="003578B6" w:rsidRPr="00982D01" w:rsidRDefault="003578B6" w:rsidP="003578B6">
      <w:pPr>
        <w:spacing w:after="0" w:line="360" w:lineRule="auto"/>
        <w:jc w:val="center"/>
        <w:rPr>
          <w:rFonts w:ascii="Times New Roman" w:eastAsia="Times New Roman" w:hAnsi="Times New Roman" w:cs="Times New Roman"/>
          <w:b/>
          <w:sz w:val="28"/>
          <w:szCs w:val="28"/>
          <w:lang w:eastAsia="ru-RU"/>
        </w:rPr>
      </w:pPr>
      <w:r w:rsidRPr="00982D01">
        <w:rPr>
          <w:rFonts w:ascii="Times New Roman" w:eastAsia="Times New Roman" w:hAnsi="Times New Roman" w:cs="Times New Roman"/>
          <w:b/>
          <w:sz w:val="28"/>
          <w:szCs w:val="28"/>
          <w:lang w:eastAsia="ru-RU"/>
        </w:rPr>
        <w:t xml:space="preserve">НА РУБЕЖЕ </w:t>
      </w:r>
      <w:r w:rsidRPr="00982D01">
        <w:rPr>
          <w:rFonts w:ascii="Times New Roman" w:eastAsia="Times New Roman" w:hAnsi="Times New Roman" w:cs="Times New Roman"/>
          <w:b/>
          <w:sz w:val="28"/>
          <w:szCs w:val="28"/>
          <w:lang w:val="en-US" w:eastAsia="ru-RU"/>
        </w:rPr>
        <w:t>XIX</w:t>
      </w:r>
      <w:r>
        <w:rPr>
          <w:rFonts w:ascii="Times New Roman" w:eastAsia="Times New Roman" w:hAnsi="Times New Roman" w:cs="Times New Roman"/>
          <w:b/>
          <w:sz w:val="28"/>
          <w:szCs w:val="28"/>
          <w:lang w:eastAsia="ru-RU"/>
        </w:rPr>
        <w:t xml:space="preserve"> </w:t>
      </w:r>
      <w:r w:rsidRPr="00982D01">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 xml:space="preserve"> </w:t>
      </w:r>
      <w:r w:rsidRPr="00982D01">
        <w:rPr>
          <w:rFonts w:ascii="Times New Roman" w:eastAsia="Times New Roman" w:hAnsi="Times New Roman" w:cs="Times New Roman"/>
          <w:b/>
          <w:sz w:val="28"/>
          <w:szCs w:val="28"/>
          <w:lang w:eastAsia="ru-RU"/>
        </w:rPr>
        <w:t>ХХ ВЕКОВ</w:t>
      </w:r>
    </w:p>
    <w:p w14:paraId="5B19FCCD" w14:textId="77777777" w:rsidR="003578B6" w:rsidRPr="00982D01" w:rsidRDefault="003578B6" w:rsidP="003578B6">
      <w:pPr>
        <w:spacing w:after="0" w:line="360" w:lineRule="auto"/>
        <w:ind w:firstLine="709"/>
        <w:jc w:val="both"/>
        <w:rPr>
          <w:rFonts w:ascii="Times New Roman" w:eastAsia="Times New Roman" w:hAnsi="Times New Roman" w:cs="Times New Roman"/>
          <w:sz w:val="28"/>
          <w:szCs w:val="28"/>
          <w:lang w:eastAsia="ru-RU"/>
        </w:rPr>
      </w:pPr>
      <w:r w:rsidRPr="00982D01">
        <w:rPr>
          <w:rFonts w:ascii="Times New Roman" w:eastAsia="Times New Roman" w:hAnsi="Times New Roman" w:cs="Times New Roman"/>
          <w:sz w:val="28"/>
          <w:szCs w:val="28"/>
          <w:lang w:eastAsia="ru-RU"/>
        </w:rPr>
        <w:t xml:space="preserve">В статье анализируется одна из важных и малоисследованных проблем, связанная с историей миграций в Европе в конце </w:t>
      </w:r>
      <w:r w:rsidRPr="00982D01">
        <w:rPr>
          <w:rFonts w:ascii="Times New Roman" w:eastAsia="Times New Roman" w:hAnsi="Times New Roman" w:cs="Times New Roman"/>
          <w:sz w:val="28"/>
          <w:szCs w:val="28"/>
          <w:lang w:val="en-US" w:eastAsia="ru-RU"/>
        </w:rPr>
        <w:t>XIX</w:t>
      </w:r>
      <w:r w:rsidRPr="00982D01">
        <w:rPr>
          <w:rFonts w:ascii="Times New Roman" w:eastAsia="Times New Roman" w:hAnsi="Times New Roman" w:cs="Times New Roman"/>
          <w:sz w:val="28"/>
          <w:szCs w:val="28"/>
          <w:lang w:eastAsia="ru-RU"/>
        </w:rPr>
        <w:t xml:space="preserve"> – начале ХХ века. Важнейшим участником этих процессов являлась Австро-Венгерская монархия. Система австро-венгерских внешних переселений до сих пор изучена недостаточно, что выражается в отсутствии комплексных обобщающих работ. Она рассматривалась лишь фрагментарно – в разрезе отдельных национальных диаспор или отдельных стран. При этом основное внимание исследователей было приковано к заокеанским передвижениям габсбургских подданных. Научная новизна данной статьи состоит в том, что ее предметом является европейское направление австро-венгерской эмиграции, которое долгое время оставалось на периферии внимания историков.</w:t>
      </w:r>
    </w:p>
    <w:p w14:paraId="0F041E51" w14:textId="77777777" w:rsidR="003578B6" w:rsidRPr="00982D01" w:rsidRDefault="003578B6" w:rsidP="003578B6">
      <w:pPr>
        <w:spacing w:after="0" w:line="360" w:lineRule="auto"/>
        <w:ind w:firstLine="709"/>
        <w:jc w:val="both"/>
        <w:rPr>
          <w:rFonts w:ascii="Times New Roman" w:eastAsia="Times New Roman" w:hAnsi="Times New Roman" w:cs="Times New Roman"/>
          <w:sz w:val="28"/>
          <w:szCs w:val="28"/>
          <w:lang w:eastAsia="ru-RU"/>
        </w:rPr>
      </w:pPr>
      <w:r w:rsidRPr="00982D01">
        <w:rPr>
          <w:rFonts w:ascii="Times New Roman" w:eastAsia="Times New Roman" w:hAnsi="Times New Roman" w:cs="Times New Roman"/>
          <w:sz w:val="28"/>
          <w:szCs w:val="28"/>
          <w:lang w:eastAsia="ru-RU"/>
        </w:rPr>
        <w:t>Габсбургская монархия была в той или иной степени связана системой трансграничных миграций практически со всеми странами тогдашней Европы. При этом она выступала в двух ролях – как донора, так и реципиента, но первая из них ощутимо преобладала. В начале ХХ в. численность подданных Франца-Иосифа, проживавших в других странах Европы, в два раза превосходила количество иностранцев на территории габсбургских земель.</w:t>
      </w:r>
    </w:p>
    <w:p w14:paraId="2C0BB4BC" w14:textId="77777777" w:rsidR="003578B6" w:rsidRPr="00982D01" w:rsidRDefault="003578B6" w:rsidP="003578B6">
      <w:pPr>
        <w:spacing w:after="0" w:line="360" w:lineRule="auto"/>
        <w:ind w:firstLine="709"/>
        <w:jc w:val="both"/>
        <w:rPr>
          <w:rFonts w:ascii="Times New Roman" w:eastAsia="Times New Roman" w:hAnsi="Times New Roman" w:cs="Times New Roman"/>
          <w:sz w:val="28"/>
          <w:szCs w:val="28"/>
          <w:lang w:eastAsia="ru-RU"/>
        </w:rPr>
      </w:pPr>
      <w:r w:rsidRPr="00982D01">
        <w:rPr>
          <w:rFonts w:ascii="Times New Roman" w:eastAsia="Times New Roman" w:hAnsi="Times New Roman" w:cs="Times New Roman"/>
          <w:sz w:val="28"/>
          <w:szCs w:val="28"/>
          <w:lang w:eastAsia="ru-RU"/>
        </w:rPr>
        <w:lastRenderedPageBreak/>
        <w:t xml:space="preserve">На основе анализа материалов переписей населения определена суммарная численность австро-венгерских иммигрантов в странах Европы. К началу ХХ в. она достигла 600 тыс. человек, а к началу Первой мировой войны приблизилась к 900 тыс. человек. Основными направлениями внешних миграций габсбургских подданных являлись: западноевропейское с доминирующей ролью Германии (основная страна-реципиент, принявшая от двух третей до трех четвертей переселенцев), российское, </w:t>
      </w:r>
      <w:proofErr w:type="spellStart"/>
      <w:r w:rsidRPr="00982D01">
        <w:rPr>
          <w:rFonts w:ascii="Times New Roman" w:eastAsia="Times New Roman" w:hAnsi="Times New Roman" w:cs="Times New Roman"/>
          <w:sz w:val="28"/>
          <w:szCs w:val="28"/>
          <w:lang w:eastAsia="ru-RU"/>
        </w:rPr>
        <w:t>южноевропейское</w:t>
      </w:r>
      <w:proofErr w:type="spellEnd"/>
      <w:r w:rsidRPr="00982D01">
        <w:rPr>
          <w:rFonts w:ascii="Times New Roman" w:eastAsia="Times New Roman" w:hAnsi="Times New Roman" w:cs="Times New Roman"/>
          <w:sz w:val="28"/>
          <w:szCs w:val="28"/>
          <w:lang w:eastAsia="ru-RU"/>
        </w:rPr>
        <w:t xml:space="preserve"> (Италия) и балканское (Румыния и Болгария).</w:t>
      </w:r>
    </w:p>
    <w:p w14:paraId="582169AF" w14:textId="77777777" w:rsidR="003578B6" w:rsidRPr="00982D01" w:rsidRDefault="003578B6" w:rsidP="003578B6">
      <w:pPr>
        <w:spacing w:after="0" w:line="360" w:lineRule="auto"/>
        <w:ind w:firstLine="709"/>
        <w:jc w:val="both"/>
        <w:rPr>
          <w:rFonts w:ascii="Times New Roman" w:eastAsia="Times New Roman" w:hAnsi="Times New Roman" w:cs="Times New Roman"/>
          <w:sz w:val="28"/>
          <w:szCs w:val="28"/>
          <w:lang w:eastAsia="ru-RU"/>
        </w:rPr>
      </w:pPr>
      <w:r w:rsidRPr="00982D01">
        <w:rPr>
          <w:rFonts w:ascii="Times New Roman" w:eastAsia="Times New Roman" w:hAnsi="Times New Roman" w:cs="Times New Roman"/>
          <w:sz w:val="28"/>
          <w:szCs w:val="28"/>
          <w:lang w:eastAsia="ru-RU"/>
        </w:rPr>
        <w:t>Австро-венгерская эмиграция в страны Европы носила экономический, трудовой характер. Среди переселенцев преобладали промышленные и сельскохозяйственные рабочие и были широко представлены выходцы из других социальных слоев. Иммигранты принадлежали к различным народам дуалистической монархии: немцам, чехам, полякам, русинам, венграм, румынам и др. Большая часть из них были выходцами из австрийских земель, венгерские уроженцы доминировали только на балканском направлении.</w:t>
      </w:r>
    </w:p>
    <w:p w14:paraId="7B6AFE34" w14:textId="4FBC103B" w:rsidR="003578B6" w:rsidRPr="003578B6" w:rsidRDefault="003578B6" w:rsidP="003578B6">
      <w:pPr>
        <w:spacing w:after="0" w:line="360" w:lineRule="auto"/>
        <w:ind w:firstLine="709"/>
        <w:jc w:val="both"/>
        <w:rPr>
          <w:rFonts w:ascii="Times New Roman" w:eastAsia="Times New Roman" w:hAnsi="Times New Roman" w:cs="Times New Roman"/>
          <w:sz w:val="28"/>
          <w:szCs w:val="28"/>
          <w:lang w:eastAsia="ru-RU"/>
        </w:rPr>
      </w:pPr>
      <w:r w:rsidRPr="00982D01">
        <w:rPr>
          <w:rFonts w:ascii="Times New Roman" w:eastAsia="Times New Roman" w:hAnsi="Times New Roman" w:cs="Times New Roman"/>
          <w:b/>
          <w:sz w:val="28"/>
          <w:szCs w:val="28"/>
          <w:lang w:eastAsia="ru-RU"/>
        </w:rPr>
        <w:t>Ключевые слова:</w:t>
      </w:r>
      <w:r w:rsidRPr="00982D01">
        <w:rPr>
          <w:rFonts w:ascii="Times New Roman" w:eastAsia="Times New Roman" w:hAnsi="Times New Roman" w:cs="Times New Roman"/>
          <w:sz w:val="28"/>
          <w:szCs w:val="28"/>
          <w:lang w:eastAsia="ru-RU"/>
        </w:rPr>
        <w:t xml:space="preserve"> Австро-Венгрия, Европа, история миграций, австро-венгерская эмиграция, австро-венгерские переселенцы, иммиграция в Европу.</w:t>
      </w:r>
    </w:p>
    <w:p w14:paraId="52A719B5" w14:textId="77777777" w:rsidR="003578B6" w:rsidRPr="002B2907" w:rsidRDefault="003578B6" w:rsidP="003578B6">
      <w:pPr>
        <w:spacing w:after="0" w:line="360" w:lineRule="auto"/>
        <w:jc w:val="right"/>
        <w:rPr>
          <w:rFonts w:ascii="Times New Roman" w:eastAsia="Times New Roman" w:hAnsi="Times New Roman" w:cs="Times New Roman"/>
          <w:b/>
          <w:sz w:val="28"/>
          <w:szCs w:val="28"/>
          <w:lang w:val="en-US" w:eastAsia="ru-RU"/>
        </w:rPr>
      </w:pPr>
      <w:r w:rsidRPr="00982D01">
        <w:rPr>
          <w:rFonts w:ascii="Times New Roman" w:eastAsia="Times New Roman" w:hAnsi="Times New Roman" w:cs="Times New Roman"/>
          <w:b/>
          <w:sz w:val="28"/>
          <w:szCs w:val="28"/>
          <w:lang w:val="en-US" w:eastAsia="ru-RU"/>
        </w:rPr>
        <w:t>Andrey</w:t>
      </w:r>
      <w:r w:rsidRPr="002B2907">
        <w:rPr>
          <w:rFonts w:ascii="Times New Roman" w:eastAsia="Times New Roman" w:hAnsi="Times New Roman" w:cs="Times New Roman"/>
          <w:b/>
          <w:sz w:val="28"/>
          <w:szCs w:val="28"/>
          <w:lang w:val="en-US" w:eastAsia="ru-RU"/>
        </w:rPr>
        <w:t xml:space="preserve"> </w:t>
      </w:r>
      <w:r w:rsidRPr="00982D01">
        <w:rPr>
          <w:rFonts w:ascii="Times New Roman" w:eastAsia="Times New Roman" w:hAnsi="Times New Roman" w:cs="Times New Roman"/>
          <w:b/>
          <w:sz w:val="28"/>
          <w:szCs w:val="28"/>
          <w:lang w:val="en-US" w:eastAsia="ru-RU"/>
        </w:rPr>
        <w:t>N</w:t>
      </w:r>
      <w:r w:rsidRPr="002B2907">
        <w:rPr>
          <w:rFonts w:ascii="Times New Roman" w:eastAsia="Times New Roman" w:hAnsi="Times New Roman" w:cs="Times New Roman"/>
          <w:b/>
          <w:sz w:val="28"/>
          <w:szCs w:val="28"/>
          <w:lang w:val="en-US" w:eastAsia="ru-RU"/>
        </w:rPr>
        <w:t xml:space="preserve">. </w:t>
      </w:r>
      <w:proofErr w:type="spellStart"/>
      <w:r w:rsidRPr="00982D01">
        <w:rPr>
          <w:rFonts w:ascii="Times New Roman" w:eastAsia="Times New Roman" w:hAnsi="Times New Roman" w:cs="Times New Roman"/>
          <w:b/>
          <w:sz w:val="28"/>
          <w:szCs w:val="28"/>
          <w:lang w:val="en-US" w:eastAsia="ru-RU"/>
        </w:rPr>
        <w:t>Ptitsyn</w:t>
      </w:r>
      <w:proofErr w:type="spellEnd"/>
    </w:p>
    <w:p w14:paraId="6F9228AA" w14:textId="77777777" w:rsidR="003578B6" w:rsidRPr="00982D01" w:rsidRDefault="003578B6" w:rsidP="003578B6">
      <w:pPr>
        <w:spacing w:after="0" w:line="360" w:lineRule="auto"/>
        <w:jc w:val="center"/>
        <w:rPr>
          <w:rFonts w:ascii="Times New Roman" w:eastAsia="Times New Roman" w:hAnsi="Times New Roman" w:cs="Times New Roman"/>
          <w:b/>
          <w:bCs/>
          <w:sz w:val="28"/>
          <w:szCs w:val="28"/>
          <w:lang w:val="en-US" w:eastAsia="ru-RU"/>
        </w:rPr>
      </w:pPr>
      <w:r w:rsidRPr="00982D01">
        <w:rPr>
          <w:rFonts w:ascii="Times New Roman" w:eastAsia="Times New Roman" w:hAnsi="Times New Roman" w:cs="Times New Roman"/>
          <w:b/>
          <w:bCs/>
          <w:sz w:val="28"/>
          <w:szCs w:val="28"/>
          <w:lang w:val="en-US" w:eastAsia="ru-RU"/>
        </w:rPr>
        <w:t>EUROPEAN DIRECTION OF AUSTRIA-HUNGARIAN EMIGRATION</w:t>
      </w:r>
    </w:p>
    <w:p w14:paraId="552F01E2" w14:textId="77777777" w:rsidR="003578B6" w:rsidRPr="00982D01" w:rsidRDefault="003578B6" w:rsidP="003578B6">
      <w:pPr>
        <w:spacing w:after="0" w:line="360" w:lineRule="auto"/>
        <w:jc w:val="center"/>
        <w:rPr>
          <w:rFonts w:ascii="Times New Roman" w:eastAsia="Times New Roman" w:hAnsi="Times New Roman" w:cs="Times New Roman"/>
          <w:b/>
          <w:bCs/>
          <w:sz w:val="28"/>
          <w:szCs w:val="28"/>
          <w:lang w:val="en-US" w:eastAsia="ru-RU"/>
        </w:rPr>
      </w:pPr>
      <w:r w:rsidRPr="00982D01">
        <w:rPr>
          <w:rFonts w:ascii="Times New Roman" w:eastAsia="Times New Roman" w:hAnsi="Times New Roman" w:cs="Times New Roman"/>
          <w:b/>
          <w:bCs/>
          <w:sz w:val="28"/>
          <w:szCs w:val="28"/>
          <w:lang w:val="en-US" w:eastAsia="ru-RU"/>
        </w:rPr>
        <w:t>AT THE TURN OF THE XIX–XX CENTURIES</w:t>
      </w:r>
    </w:p>
    <w:p w14:paraId="07682C52" w14:textId="77777777" w:rsidR="003578B6" w:rsidRPr="00982D01" w:rsidRDefault="003578B6" w:rsidP="003578B6">
      <w:pPr>
        <w:spacing w:after="0" w:line="360" w:lineRule="auto"/>
        <w:ind w:firstLine="709"/>
        <w:jc w:val="both"/>
        <w:rPr>
          <w:rFonts w:ascii="Times New Roman" w:eastAsia="Times New Roman" w:hAnsi="Times New Roman" w:cs="Times New Roman"/>
          <w:b/>
          <w:sz w:val="28"/>
          <w:szCs w:val="28"/>
          <w:lang w:val="en-US" w:eastAsia="ru-RU"/>
        </w:rPr>
      </w:pPr>
      <w:r w:rsidRPr="00982D01">
        <w:rPr>
          <w:rFonts w:ascii="Times New Roman" w:eastAsia="Times New Roman" w:hAnsi="Times New Roman" w:cs="Times New Roman"/>
          <w:sz w:val="28"/>
          <w:szCs w:val="28"/>
          <w:lang w:val="en-US" w:eastAsia="ru-RU"/>
        </w:rPr>
        <w:t xml:space="preserve">The article analyzes one of the most important and little-studied problems related to the history of migrations in Europe in the late 19th - early 20th centuries. The most important participant in these processes was the Austro-Hungarian monarchy. The system of Austro-Hungarian external migrations has not yet been sufficiently studied, which is expressed in the absence of comprehensive generalizing works. It was considered only fragmentarily - in the context of individual national diasporas or individual countries. At the same time, the main attention of researchers was glued to the overseas movements of Habsburg citizens. The scientific novelty of this article lies in the fact that its theme is the European </w:t>
      </w:r>
      <w:r w:rsidRPr="00982D01">
        <w:rPr>
          <w:rFonts w:ascii="Times New Roman" w:eastAsia="Times New Roman" w:hAnsi="Times New Roman" w:cs="Times New Roman"/>
          <w:sz w:val="28"/>
          <w:szCs w:val="28"/>
          <w:lang w:val="en-US" w:eastAsia="ru-RU"/>
        </w:rPr>
        <w:lastRenderedPageBreak/>
        <w:t>direction of the Austro-Hungarian emigration, which for a long time remained on the periphery of the attention of historians.</w:t>
      </w:r>
    </w:p>
    <w:p w14:paraId="42790AE0" w14:textId="77777777" w:rsidR="003578B6" w:rsidRPr="00982D01" w:rsidRDefault="003578B6" w:rsidP="003578B6">
      <w:pPr>
        <w:spacing w:after="0" w:line="360" w:lineRule="auto"/>
        <w:ind w:firstLine="709"/>
        <w:jc w:val="both"/>
        <w:rPr>
          <w:rFonts w:ascii="Times New Roman" w:eastAsia="Times New Roman" w:hAnsi="Times New Roman" w:cs="Times New Roman"/>
          <w:sz w:val="28"/>
          <w:szCs w:val="28"/>
          <w:lang w:val="en-US" w:eastAsia="ru-RU"/>
        </w:rPr>
      </w:pPr>
      <w:r w:rsidRPr="00982D01">
        <w:rPr>
          <w:rFonts w:ascii="Times New Roman" w:eastAsia="Times New Roman" w:hAnsi="Times New Roman" w:cs="Times New Roman"/>
          <w:sz w:val="28"/>
          <w:szCs w:val="28"/>
          <w:lang w:val="en-US" w:eastAsia="ru-RU"/>
        </w:rPr>
        <w:t>The Habsburg Monarchy was, to one degree or another, connected by a system of cross-border migrations with almost all countries of what was then Europe. At the same time, it acted in two roles - both a donor and a recipient, but the first of them significantly prevailed. At the beginning of the 20th century, the number of nationals of Franz Joseph living in other European countries was twice the number of foreigners in the territory of the Habsburg lands.</w:t>
      </w:r>
    </w:p>
    <w:p w14:paraId="38A2F8FC" w14:textId="77777777" w:rsidR="003578B6" w:rsidRPr="00982D01" w:rsidRDefault="003578B6" w:rsidP="003578B6">
      <w:pPr>
        <w:spacing w:after="0" w:line="360" w:lineRule="auto"/>
        <w:ind w:firstLine="709"/>
        <w:jc w:val="both"/>
        <w:rPr>
          <w:rFonts w:ascii="Times New Roman" w:eastAsia="Times New Roman" w:hAnsi="Times New Roman" w:cs="Times New Roman"/>
          <w:sz w:val="28"/>
          <w:szCs w:val="28"/>
          <w:lang w:val="en-US" w:eastAsia="ru-RU"/>
        </w:rPr>
      </w:pPr>
      <w:r w:rsidRPr="00982D01">
        <w:rPr>
          <w:rFonts w:ascii="Times New Roman" w:eastAsia="Times New Roman" w:hAnsi="Times New Roman" w:cs="Times New Roman"/>
          <w:sz w:val="28"/>
          <w:szCs w:val="28"/>
          <w:lang w:val="en-US" w:eastAsia="ru-RU"/>
        </w:rPr>
        <w:t xml:space="preserve">Based on the analysis of census materials, the total number of Austro-Hungarian immigrants in European countries was determined. By the beginning of the twentieth century, it has reached 600 thousand people, and by the beginning of the First World War it has approached 900 thousand people. The main directions of external migration of the Habsburg nationals </w:t>
      </w:r>
      <w:proofErr w:type="gramStart"/>
      <w:r w:rsidRPr="00982D01">
        <w:rPr>
          <w:rFonts w:ascii="Times New Roman" w:eastAsia="Times New Roman" w:hAnsi="Times New Roman" w:cs="Times New Roman"/>
          <w:sz w:val="28"/>
          <w:szCs w:val="28"/>
          <w:lang w:val="en-US" w:eastAsia="ru-RU"/>
        </w:rPr>
        <w:t>were</w:t>
      </w:r>
      <w:proofErr w:type="gramEnd"/>
      <w:r w:rsidRPr="00982D01">
        <w:rPr>
          <w:rFonts w:ascii="Times New Roman" w:eastAsia="Times New Roman" w:hAnsi="Times New Roman" w:cs="Times New Roman"/>
          <w:sz w:val="28"/>
          <w:szCs w:val="28"/>
          <w:lang w:val="en-US" w:eastAsia="ru-RU"/>
        </w:rPr>
        <w:t>: Western European with the dominant role of Germany (the main recipient country, which accepted more than two thirds of the settlers), Russian, South European (Italy) and Balkan (Romania and Bulgaria).</w:t>
      </w:r>
    </w:p>
    <w:p w14:paraId="5F36AB92" w14:textId="77777777" w:rsidR="003578B6" w:rsidRPr="00982D01" w:rsidRDefault="003578B6" w:rsidP="003578B6">
      <w:pPr>
        <w:spacing w:after="0" w:line="360" w:lineRule="auto"/>
        <w:ind w:firstLine="709"/>
        <w:jc w:val="both"/>
        <w:rPr>
          <w:rFonts w:ascii="Times New Roman" w:eastAsia="Times New Roman" w:hAnsi="Times New Roman" w:cs="Times New Roman"/>
          <w:sz w:val="28"/>
          <w:szCs w:val="28"/>
          <w:lang w:val="en-US" w:eastAsia="ru-RU"/>
        </w:rPr>
      </w:pPr>
      <w:r w:rsidRPr="00982D01">
        <w:rPr>
          <w:rFonts w:ascii="Times New Roman" w:eastAsia="Times New Roman" w:hAnsi="Times New Roman" w:cs="Times New Roman"/>
          <w:sz w:val="28"/>
          <w:szCs w:val="28"/>
          <w:lang w:val="en-US" w:eastAsia="ru-RU"/>
        </w:rPr>
        <w:t>Austro-Hungarian emigration to European countries was of an economic and labor nature. Industrial and agricultural workers predominated among the settlers, and people from other social strata were widely represented. The immigrants belonged to various peoples of the dualistic monarchy: Germans, Czechs, Poles, Rusyns, Hungarians, Romanians, etc. Most of them came from Austrian lands, Hungarian natives dominated only in the Balkan direction.</w:t>
      </w:r>
    </w:p>
    <w:p w14:paraId="4F60D994" w14:textId="77777777" w:rsidR="003578B6" w:rsidRPr="00982D01" w:rsidRDefault="003578B6" w:rsidP="003578B6">
      <w:pPr>
        <w:spacing w:after="0" w:line="360" w:lineRule="auto"/>
        <w:ind w:firstLine="709"/>
        <w:jc w:val="both"/>
        <w:rPr>
          <w:rFonts w:ascii="Times New Roman" w:eastAsia="Times New Roman" w:hAnsi="Times New Roman" w:cs="Times New Roman"/>
          <w:b/>
          <w:sz w:val="28"/>
          <w:szCs w:val="28"/>
          <w:lang w:val="en-US" w:eastAsia="ru-RU"/>
        </w:rPr>
      </w:pPr>
      <w:r w:rsidRPr="00982D01">
        <w:rPr>
          <w:rFonts w:ascii="Times New Roman" w:eastAsia="Times New Roman" w:hAnsi="Times New Roman" w:cs="Times New Roman"/>
          <w:b/>
          <w:sz w:val="28"/>
          <w:szCs w:val="28"/>
          <w:lang w:val="en-US" w:eastAsia="ru-RU"/>
        </w:rPr>
        <w:t xml:space="preserve">Key words: </w:t>
      </w:r>
      <w:r w:rsidRPr="00982D01">
        <w:rPr>
          <w:rFonts w:ascii="Times New Roman" w:eastAsia="Times New Roman" w:hAnsi="Times New Roman" w:cs="Times New Roman"/>
          <w:sz w:val="28"/>
          <w:szCs w:val="28"/>
          <w:lang w:val="en-US" w:eastAsia="ru-RU"/>
        </w:rPr>
        <w:t>Austria-Hungary, Europe, history of migrations, Austro-Hungarian emigration, Austro-Hungarian settlers, immigration to Europe.</w:t>
      </w:r>
    </w:p>
    <w:p w14:paraId="3444A695" w14:textId="77777777" w:rsidR="003578B6" w:rsidRPr="00982D01" w:rsidRDefault="003578B6" w:rsidP="003578B6">
      <w:pPr>
        <w:spacing w:after="0" w:line="360" w:lineRule="auto"/>
        <w:ind w:left="-567" w:right="283" w:firstLine="709"/>
        <w:rPr>
          <w:rFonts w:ascii="Times New Roman" w:hAnsi="Times New Roman" w:cs="Times New Roman"/>
          <w:b/>
          <w:sz w:val="28"/>
          <w:szCs w:val="28"/>
        </w:rPr>
      </w:pPr>
      <w:r w:rsidRPr="00982D01">
        <w:rPr>
          <w:rFonts w:ascii="Times New Roman" w:hAnsi="Times New Roman" w:cs="Times New Roman"/>
          <w:b/>
          <w:sz w:val="28"/>
          <w:szCs w:val="28"/>
        </w:rPr>
        <w:t>УДК</w:t>
      </w:r>
      <w:r w:rsidRPr="00982D01">
        <w:rPr>
          <w:rFonts w:ascii="Times New Roman" w:hAnsi="Times New Roman" w:cs="Times New Roman"/>
          <w:sz w:val="28"/>
          <w:szCs w:val="28"/>
        </w:rPr>
        <w:t xml:space="preserve">: </w:t>
      </w:r>
      <w:r w:rsidRPr="00982D01">
        <w:rPr>
          <w:rFonts w:ascii="Times New Roman" w:hAnsi="Times New Roman" w:cs="Times New Roman"/>
          <w:b/>
          <w:sz w:val="28"/>
          <w:szCs w:val="28"/>
        </w:rPr>
        <w:t>93/94</w:t>
      </w:r>
    </w:p>
    <w:p w14:paraId="48B760D8" w14:textId="77777777" w:rsidR="003578B6" w:rsidRDefault="003578B6" w:rsidP="003578B6">
      <w:pPr>
        <w:spacing w:after="0" w:line="360" w:lineRule="auto"/>
        <w:ind w:left="-567" w:right="283" w:firstLine="709"/>
        <w:jc w:val="right"/>
        <w:rPr>
          <w:rFonts w:ascii="Times New Roman" w:hAnsi="Times New Roman" w:cs="Times New Roman"/>
          <w:b/>
          <w:sz w:val="28"/>
          <w:szCs w:val="28"/>
        </w:rPr>
      </w:pPr>
      <w:r w:rsidRPr="00731BFB">
        <w:rPr>
          <w:rFonts w:ascii="Times New Roman" w:hAnsi="Times New Roman" w:cs="Times New Roman"/>
          <w:b/>
          <w:sz w:val="28"/>
          <w:szCs w:val="28"/>
        </w:rPr>
        <w:t>http://doi.org/</w:t>
      </w:r>
      <w:r w:rsidRPr="002A18D4">
        <w:rPr>
          <w:rFonts w:ascii="Times New Roman" w:hAnsi="Times New Roman" w:cs="Times New Roman"/>
          <w:b/>
          <w:sz w:val="28"/>
          <w:szCs w:val="28"/>
        </w:rPr>
        <w:t>10.37493/2409-1030.2022.2.13</w:t>
      </w:r>
    </w:p>
    <w:p w14:paraId="3E0B1995" w14:textId="77777777" w:rsidR="003578B6" w:rsidRPr="00982D01" w:rsidRDefault="003578B6" w:rsidP="003578B6">
      <w:pPr>
        <w:spacing w:after="0" w:line="360" w:lineRule="auto"/>
        <w:ind w:left="-567" w:right="283" w:firstLine="709"/>
        <w:jc w:val="right"/>
        <w:rPr>
          <w:rFonts w:ascii="Times New Roman" w:hAnsi="Times New Roman" w:cs="Times New Roman"/>
          <w:b/>
          <w:sz w:val="28"/>
          <w:szCs w:val="28"/>
        </w:rPr>
      </w:pPr>
      <w:r w:rsidRPr="00982D01">
        <w:rPr>
          <w:rFonts w:ascii="Times New Roman" w:hAnsi="Times New Roman" w:cs="Times New Roman"/>
          <w:b/>
          <w:sz w:val="28"/>
          <w:szCs w:val="28"/>
        </w:rPr>
        <w:t xml:space="preserve">Н.С. </w:t>
      </w:r>
      <w:proofErr w:type="spellStart"/>
      <w:r w:rsidRPr="00982D01">
        <w:rPr>
          <w:rFonts w:ascii="Times New Roman" w:hAnsi="Times New Roman" w:cs="Times New Roman"/>
          <w:b/>
          <w:sz w:val="28"/>
          <w:szCs w:val="28"/>
        </w:rPr>
        <w:t>Ткаленко</w:t>
      </w:r>
      <w:proofErr w:type="spellEnd"/>
    </w:p>
    <w:p w14:paraId="4AE13E2C" w14:textId="77777777" w:rsidR="003578B6" w:rsidRPr="00982D01" w:rsidRDefault="003578B6" w:rsidP="003578B6">
      <w:pPr>
        <w:spacing w:after="0" w:line="360" w:lineRule="auto"/>
        <w:ind w:left="-567" w:right="283" w:firstLine="709"/>
        <w:jc w:val="center"/>
        <w:rPr>
          <w:rFonts w:ascii="Times New Roman" w:hAnsi="Times New Roman" w:cs="Times New Roman"/>
          <w:b/>
          <w:sz w:val="28"/>
          <w:szCs w:val="28"/>
        </w:rPr>
      </w:pPr>
      <w:bookmarkStart w:id="2" w:name="_Hlk106549868"/>
      <w:r w:rsidRPr="00982D01">
        <w:rPr>
          <w:rFonts w:ascii="Times New Roman" w:hAnsi="Times New Roman" w:cs="Times New Roman"/>
          <w:b/>
          <w:sz w:val="28"/>
          <w:szCs w:val="28"/>
        </w:rPr>
        <w:t xml:space="preserve">«УБЕГАЮЩИХ ЖЕ ОТ ЖЕСТОКОСТИ ВЛАДЕЛЬЦЕВ ПРИНИМАТЬ ПОД ПОКРОВИТЕЛЬСТВО…»: ПЛЕННЫЕ И БЕГЛЫЕ НА КУБАНСКОМ ПОГРАНИЧЬЕ В 20-Е ГОДЫ XIX В. (ПО </w:t>
      </w:r>
      <w:r w:rsidRPr="00982D01">
        <w:rPr>
          <w:rFonts w:ascii="Times New Roman" w:hAnsi="Times New Roman" w:cs="Times New Roman"/>
          <w:b/>
          <w:sz w:val="28"/>
          <w:szCs w:val="28"/>
        </w:rPr>
        <w:lastRenderedPageBreak/>
        <w:t>МАТЕРИАЛАМ ГОСУДАРСТВЕННОГО АРХИВА КРАСНОДАРСКОГО КРАЯ)</w:t>
      </w:r>
    </w:p>
    <w:bookmarkEnd w:id="2"/>
    <w:p w14:paraId="3E1AFE0B" w14:textId="77777777" w:rsidR="003578B6" w:rsidRPr="00982D01" w:rsidRDefault="003578B6" w:rsidP="003578B6">
      <w:pPr>
        <w:spacing w:after="0" w:line="360" w:lineRule="auto"/>
        <w:ind w:left="-567" w:right="283" w:firstLine="709"/>
        <w:jc w:val="both"/>
        <w:rPr>
          <w:rFonts w:ascii="Times New Roman" w:hAnsi="Times New Roman" w:cs="Times New Roman"/>
          <w:sz w:val="28"/>
          <w:szCs w:val="28"/>
        </w:rPr>
      </w:pPr>
      <w:r w:rsidRPr="00982D01">
        <w:rPr>
          <w:rFonts w:ascii="Times New Roman" w:hAnsi="Times New Roman" w:cs="Times New Roman"/>
          <w:sz w:val="28"/>
          <w:szCs w:val="28"/>
        </w:rPr>
        <w:t xml:space="preserve">Геополитические реалии, сложившиеся в результате победы Российской империи в войне против Турции 1787 – 1791 гг., несли для Петербурга новые вызовы, связанные с обустройством границы по реке Кубань. Здесь пришлось выстраивать отношения с горскими народами, специфический жизненный уклад которых не мог быть безоговорочно принят российской стороной. Серьёзным вызовом для добрососедских отношений стали набеги с целью захвата пленников. Это провоцировало ответные военные акции, что ещё больше осложняло процесс мирного сосуществования. </w:t>
      </w:r>
    </w:p>
    <w:p w14:paraId="2C90C097" w14:textId="77777777" w:rsidR="003578B6" w:rsidRPr="00982D01" w:rsidRDefault="003578B6" w:rsidP="003578B6">
      <w:pPr>
        <w:spacing w:after="0" w:line="360" w:lineRule="auto"/>
        <w:ind w:left="-567" w:right="283" w:firstLine="709"/>
        <w:jc w:val="both"/>
        <w:rPr>
          <w:rFonts w:ascii="Times New Roman" w:hAnsi="Times New Roman" w:cs="Times New Roman"/>
          <w:sz w:val="28"/>
          <w:szCs w:val="28"/>
        </w:rPr>
      </w:pPr>
      <w:r w:rsidRPr="00982D01">
        <w:rPr>
          <w:rFonts w:ascii="Times New Roman" w:hAnsi="Times New Roman" w:cs="Times New Roman"/>
          <w:sz w:val="28"/>
          <w:szCs w:val="28"/>
        </w:rPr>
        <w:t>В плен к горцам попадали не только военнослужащие, но и представители гражданского населения, проживающие в населенных пунктах, расположенных близ приграничного кордона. Многие полоняники, пройдя тяжелейшие условия рабской жизни, иногда получали возможность бегства из плена, и единственным спасением для них являлась российская граница. Сюда же выбегали и адыги, которые часто оказывались в неволе у своих соотечественников в результате междоусобиц. В надежде получить защиту на правобережье Кубани также уходили представители адыгских зависимых сословий, которые испытывали на себе всё более усиливающееся феодально-крепостническое притеснение от своих владетелей. Царская администрация оказывала защиту и гарантировала свободу бежавшей на российскую сторону черкесской бедноте, пленным ногайцам и татарам. Это приводило к осложнениям во взаимоотношениях с горской аристократией, провоцировало новые военные столкновения. Преодолеть взаимную неприязнь и выстроить модель взаимоотношений, которая устроила бы все стороны межкультурного диалога в рассматриваемый период, так и не удалось.</w:t>
      </w:r>
    </w:p>
    <w:p w14:paraId="48393D77" w14:textId="77777777" w:rsidR="003578B6" w:rsidRDefault="003578B6" w:rsidP="003578B6">
      <w:pPr>
        <w:spacing w:after="0" w:line="360" w:lineRule="auto"/>
        <w:ind w:left="-567" w:right="283" w:firstLine="709"/>
        <w:jc w:val="both"/>
        <w:rPr>
          <w:rFonts w:ascii="Times New Roman" w:hAnsi="Times New Roman" w:cs="Times New Roman"/>
          <w:sz w:val="28"/>
          <w:szCs w:val="28"/>
        </w:rPr>
      </w:pPr>
      <w:r w:rsidRPr="00982D01">
        <w:rPr>
          <w:rFonts w:ascii="Times New Roman" w:hAnsi="Times New Roman" w:cs="Times New Roman"/>
          <w:b/>
          <w:sz w:val="28"/>
          <w:szCs w:val="28"/>
        </w:rPr>
        <w:t>Ключевые слова:</w:t>
      </w:r>
      <w:r w:rsidRPr="00982D01">
        <w:rPr>
          <w:rFonts w:ascii="Times New Roman" w:hAnsi="Times New Roman" w:cs="Times New Roman"/>
          <w:sz w:val="28"/>
          <w:szCs w:val="28"/>
        </w:rPr>
        <w:t xml:space="preserve"> Северо-Западный Кавказ, Российская империя, рабство, </w:t>
      </w:r>
      <w:proofErr w:type="spellStart"/>
      <w:r w:rsidRPr="00982D01">
        <w:rPr>
          <w:rFonts w:ascii="Times New Roman" w:hAnsi="Times New Roman" w:cs="Times New Roman"/>
          <w:sz w:val="28"/>
          <w:szCs w:val="28"/>
        </w:rPr>
        <w:t>пленопродавство</w:t>
      </w:r>
      <w:proofErr w:type="spellEnd"/>
      <w:r w:rsidRPr="00982D01">
        <w:rPr>
          <w:rFonts w:ascii="Times New Roman" w:hAnsi="Times New Roman" w:cs="Times New Roman"/>
          <w:sz w:val="28"/>
          <w:szCs w:val="28"/>
        </w:rPr>
        <w:t>, горцы, ясыри, набеги, бегство.</w:t>
      </w:r>
    </w:p>
    <w:p w14:paraId="56F7EB8D" w14:textId="77777777" w:rsidR="003578B6" w:rsidRDefault="003578B6" w:rsidP="003578B6">
      <w:pPr>
        <w:spacing w:line="360" w:lineRule="auto"/>
        <w:ind w:firstLine="709"/>
        <w:jc w:val="both"/>
        <w:rPr>
          <w:rFonts w:ascii="Times New Roman" w:hAnsi="Times New Roman"/>
          <w:b/>
          <w:sz w:val="28"/>
          <w:szCs w:val="28"/>
        </w:rPr>
      </w:pPr>
    </w:p>
    <w:p w14:paraId="00145A97" w14:textId="77777777" w:rsidR="003578B6" w:rsidRPr="002B2907" w:rsidRDefault="003578B6" w:rsidP="003578B6">
      <w:pPr>
        <w:spacing w:after="0" w:line="360" w:lineRule="auto"/>
        <w:ind w:left="-567" w:right="283" w:firstLine="709"/>
        <w:jc w:val="right"/>
        <w:rPr>
          <w:rFonts w:ascii="Times New Roman" w:hAnsi="Times New Roman" w:cs="Times New Roman"/>
          <w:sz w:val="28"/>
          <w:szCs w:val="28"/>
          <w:lang w:val="en-US"/>
        </w:rPr>
      </w:pPr>
      <w:r w:rsidRPr="00982D01">
        <w:rPr>
          <w:rFonts w:ascii="Times New Roman" w:hAnsi="Times New Roman" w:cs="Times New Roman"/>
          <w:b/>
          <w:sz w:val="28"/>
          <w:szCs w:val="28"/>
          <w:lang w:val="en-US"/>
        </w:rPr>
        <w:t>Nikita</w:t>
      </w:r>
      <w:r w:rsidRPr="002B2907">
        <w:rPr>
          <w:rFonts w:ascii="Times New Roman" w:hAnsi="Times New Roman" w:cs="Times New Roman"/>
          <w:b/>
          <w:sz w:val="28"/>
          <w:szCs w:val="28"/>
          <w:lang w:val="en-US"/>
        </w:rPr>
        <w:t xml:space="preserve"> </w:t>
      </w:r>
      <w:r w:rsidRPr="00982D01">
        <w:rPr>
          <w:rFonts w:ascii="Times New Roman" w:hAnsi="Times New Roman" w:cs="Times New Roman"/>
          <w:b/>
          <w:sz w:val="28"/>
          <w:szCs w:val="28"/>
          <w:lang w:val="en-US"/>
        </w:rPr>
        <w:t>S</w:t>
      </w:r>
      <w:r w:rsidRPr="002B2907">
        <w:rPr>
          <w:rFonts w:ascii="Times New Roman" w:hAnsi="Times New Roman" w:cs="Times New Roman"/>
          <w:b/>
          <w:sz w:val="28"/>
          <w:szCs w:val="28"/>
          <w:lang w:val="en-US"/>
        </w:rPr>
        <w:t xml:space="preserve">. </w:t>
      </w:r>
      <w:proofErr w:type="spellStart"/>
      <w:r w:rsidRPr="00982D01">
        <w:rPr>
          <w:rFonts w:ascii="Times New Roman" w:hAnsi="Times New Roman" w:cs="Times New Roman"/>
          <w:b/>
          <w:sz w:val="28"/>
          <w:szCs w:val="28"/>
          <w:lang w:val="en-US"/>
        </w:rPr>
        <w:t>Tkalenko</w:t>
      </w:r>
      <w:proofErr w:type="spellEnd"/>
    </w:p>
    <w:p w14:paraId="27E40895" w14:textId="77777777" w:rsidR="003578B6" w:rsidRPr="00982D01" w:rsidRDefault="003578B6" w:rsidP="003578B6">
      <w:pPr>
        <w:spacing w:after="0" w:line="360" w:lineRule="auto"/>
        <w:ind w:left="-567" w:right="283" w:firstLine="709"/>
        <w:jc w:val="center"/>
        <w:rPr>
          <w:rFonts w:ascii="Times New Roman" w:hAnsi="Times New Roman" w:cs="Times New Roman"/>
          <w:b/>
          <w:sz w:val="28"/>
          <w:szCs w:val="28"/>
          <w:lang w:val="en-US"/>
        </w:rPr>
      </w:pPr>
      <w:r w:rsidRPr="00982D01">
        <w:rPr>
          <w:rFonts w:ascii="Times New Roman" w:hAnsi="Times New Roman" w:cs="Times New Roman"/>
          <w:b/>
          <w:sz w:val="28"/>
          <w:szCs w:val="28"/>
          <w:lang w:val="en-US"/>
        </w:rPr>
        <w:lastRenderedPageBreak/>
        <w:t>«THOSE FLEEING FROM THE CRUELTY OF THE OWNERS SHOULD BE TAKEN UNDER THE PROTECTION OF…»: PRISONERS AND FUGTIVES ON THE KUBAN BORDER IN THE 20S OF THE XIX CENTURY (ACCORDING TO THE STATE ARCHIVE OF KRASNODAR REGION)</w:t>
      </w:r>
    </w:p>
    <w:p w14:paraId="7229F8AB" w14:textId="77777777" w:rsidR="003578B6" w:rsidRPr="00982D01" w:rsidRDefault="003578B6" w:rsidP="003578B6">
      <w:pPr>
        <w:spacing w:after="0" w:line="360" w:lineRule="auto"/>
        <w:ind w:left="-567" w:right="283" w:firstLine="709"/>
        <w:jc w:val="both"/>
        <w:rPr>
          <w:rFonts w:ascii="Times New Roman" w:hAnsi="Times New Roman" w:cs="Times New Roman"/>
          <w:sz w:val="28"/>
          <w:szCs w:val="28"/>
          <w:lang w:val="en-US"/>
        </w:rPr>
      </w:pPr>
      <w:r w:rsidRPr="00982D01">
        <w:rPr>
          <w:rFonts w:ascii="Times New Roman" w:hAnsi="Times New Roman" w:cs="Times New Roman"/>
          <w:sz w:val="28"/>
          <w:szCs w:val="28"/>
          <w:lang w:val="en-US"/>
        </w:rPr>
        <w:t>The geopolitical realities that developed as a result of the victory of the Russian Empire in the war against Turkey in 1787 – 1791 carried new challenges for St. Petersburg related to the arrangement of the border along the Kuban River. Here it was necessary to build relations with the mountain peoples, whose specific way of life could not be unconditionally accepted by the Russian side. Raids aimed at capturing prisoners have become a serious challenge to good-neighborly relations. This provoked retaliatory military actions, which further complicated the process of peaceful coexistence.</w:t>
      </w:r>
    </w:p>
    <w:p w14:paraId="4F35BCF8" w14:textId="77777777" w:rsidR="003578B6" w:rsidRPr="00982D01" w:rsidRDefault="003578B6" w:rsidP="003578B6">
      <w:pPr>
        <w:spacing w:after="0" w:line="360" w:lineRule="auto"/>
        <w:ind w:left="-567" w:right="283" w:firstLine="709"/>
        <w:jc w:val="both"/>
        <w:rPr>
          <w:rFonts w:ascii="Times New Roman" w:hAnsi="Times New Roman" w:cs="Times New Roman"/>
          <w:sz w:val="28"/>
          <w:szCs w:val="28"/>
          <w:lang w:val="en-US"/>
        </w:rPr>
      </w:pPr>
      <w:r w:rsidRPr="00982D01">
        <w:rPr>
          <w:rFonts w:ascii="Times New Roman" w:hAnsi="Times New Roman" w:cs="Times New Roman"/>
          <w:sz w:val="28"/>
          <w:szCs w:val="28"/>
          <w:lang w:val="en-US"/>
        </w:rPr>
        <w:t xml:space="preserve">Not only military personnel, but also representatives of the civilian population living in settlements located near the border cordon were captured by the highlanders. Many </w:t>
      </w:r>
      <w:proofErr w:type="spellStart"/>
      <w:r w:rsidRPr="00982D01">
        <w:rPr>
          <w:rFonts w:ascii="Times New Roman" w:hAnsi="Times New Roman" w:cs="Times New Roman"/>
          <w:sz w:val="28"/>
          <w:szCs w:val="28"/>
          <w:lang w:val="en-US"/>
        </w:rPr>
        <w:t>polonyaniks</w:t>
      </w:r>
      <w:proofErr w:type="spellEnd"/>
      <w:r w:rsidRPr="00982D01">
        <w:rPr>
          <w:rFonts w:ascii="Times New Roman" w:hAnsi="Times New Roman" w:cs="Times New Roman"/>
          <w:sz w:val="28"/>
          <w:szCs w:val="28"/>
          <w:lang w:val="en-US"/>
        </w:rPr>
        <w:t xml:space="preserve">, having passed the most difficult conditions of slave life, sometimes got the opportunity to escape from captivity, and the only salvation for them was the Russian border. The </w:t>
      </w:r>
      <w:proofErr w:type="spellStart"/>
      <w:r w:rsidRPr="00982D01">
        <w:rPr>
          <w:rFonts w:ascii="Times New Roman" w:hAnsi="Times New Roman" w:cs="Times New Roman"/>
          <w:sz w:val="28"/>
          <w:szCs w:val="28"/>
          <w:lang w:val="en-US"/>
        </w:rPr>
        <w:t>Adygs</w:t>
      </w:r>
      <w:proofErr w:type="spellEnd"/>
      <w:r w:rsidRPr="00982D01">
        <w:rPr>
          <w:rFonts w:ascii="Times New Roman" w:hAnsi="Times New Roman" w:cs="Times New Roman"/>
          <w:sz w:val="28"/>
          <w:szCs w:val="28"/>
          <w:lang w:val="en-US"/>
        </w:rPr>
        <w:t xml:space="preserve"> also ran out here, who often found themselves in captivity with their compatriots as a result of internecine strife. In the hope of receiving protection on the right bank of the Kuban, representatives of the Adyghe dependent estates also left, who experienced increasingly increasing feudal and serfdom oppression from their owners. The tsarist administration provided protection and guaranteed freedom to the Circassian poor, captive </w:t>
      </w:r>
      <w:proofErr w:type="spellStart"/>
      <w:r w:rsidRPr="00982D01">
        <w:rPr>
          <w:rFonts w:ascii="Times New Roman" w:hAnsi="Times New Roman" w:cs="Times New Roman"/>
          <w:sz w:val="28"/>
          <w:szCs w:val="28"/>
          <w:lang w:val="en-US"/>
        </w:rPr>
        <w:t>Nogais</w:t>
      </w:r>
      <w:proofErr w:type="spellEnd"/>
      <w:r w:rsidRPr="00982D01">
        <w:rPr>
          <w:rFonts w:ascii="Times New Roman" w:hAnsi="Times New Roman" w:cs="Times New Roman"/>
          <w:sz w:val="28"/>
          <w:szCs w:val="28"/>
          <w:lang w:val="en-US"/>
        </w:rPr>
        <w:t xml:space="preserve"> and Tatars who fled to the Russian side. This led to complications in relations with the mountain aristocracy, provoked new military clashes. It was not possible to overcome mutual hostility and build a model of relations that would suit all parties to intercultural dialogue during the period under review.</w:t>
      </w:r>
    </w:p>
    <w:p w14:paraId="5B9F51E1" w14:textId="77777777" w:rsidR="003578B6" w:rsidRPr="00982D01" w:rsidRDefault="003578B6" w:rsidP="003578B6">
      <w:pPr>
        <w:spacing w:after="0" w:line="360" w:lineRule="auto"/>
        <w:ind w:left="-567" w:right="283" w:firstLine="709"/>
        <w:jc w:val="both"/>
        <w:rPr>
          <w:rFonts w:ascii="Times New Roman" w:hAnsi="Times New Roman" w:cs="Times New Roman"/>
          <w:sz w:val="28"/>
          <w:szCs w:val="28"/>
          <w:lang w:val="en-US"/>
        </w:rPr>
      </w:pPr>
      <w:r w:rsidRPr="00982D01">
        <w:rPr>
          <w:rFonts w:ascii="Times New Roman" w:hAnsi="Times New Roman" w:cs="Times New Roman"/>
          <w:b/>
          <w:sz w:val="28"/>
          <w:szCs w:val="28"/>
          <w:lang w:val="en-US"/>
        </w:rPr>
        <w:t>Key words:</w:t>
      </w:r>
      <w:r w:rsidRPr="00982D01">
        <w:rPr>
          <w:rFonts w:ascii="Times New Roman" w:hAnsi="Times New Roman" w:cs="Times New Roman"/>
          <w:sz w:val="28"/>
          <w:szCs w:val="28"/>
          <w:lang w:val="en-US"/>
        </w:rPr>
        <w:t xml:space="preserve"> North-West Caucasus, Russian Empire, slavery, plethora, highlanders, </w:t>
      </w:r>
      <w:proofErr w:type="spellStart"/>
      <w:r w:rsidRPr="00982D01">
        <w:rPr>
          <w:rFonts w:ascii="Times New Roman" w:hAnsi="Times New Roman" w:cs="Times New Roman"/>
          <w:sz w:val="28"/>
          <w:szCs w:val="28"/>
          <w:lang w:val="en-US"/>
        </w:rPr>
        <w:t>yasyri</w:t>
      </w:r>
      <w:proofErr w:type="spellEnd"/>
      <w:r w:rsidRPr="00982D01">
        <w:rPr>
          <w:rFonts w:ascii="Times New Roman" w:hAnsi="Times New Roman" w:cs="Times New Roman"/>
          <w:sz w:val="28"/>
          <w:szCs w:val="28"/>
          <w:lang w:val="en-US"/>
        </w:rPr>
        <w:t>, raids, flight.</w:t>
      </w:r>
    </w:p>
    <w:p w14:paraId="074DA541" w14:textId="77777777" w:rsidR="003578B6" w:rsidRPr="00982D01" w:rsidRDefault="003578B6" w:rsidP="003578B6">
      <w:pPr>
        <w:spacing w:line="240" w:lineRule="auto"/>
        <w:contextualSpacing/>
        <w:jc w:val="center"/>
        <w:rPr>
          <w:rFonts w:ascii="Times New Roman" w:hAnsi="Times New Roman" w:cs="Times New Roman"/>
          <w:b/>
          <w:sz w:val="28"/>
          <w:szCs w:val="28"/>
        </w:rPr>
      </w:pPr>
      <w:r w:rsidRPr="00982D01">
        <w:rPr>
          <w:rFonts w:ascii="Times New Roman" w:hAnsi="Times New Roman" w:cs="Times New Roman"/>
          <w:b/>
          <w:sz w:val="28"/>
          <w:szCs w:val="28"/>
        </w:rPr>
        <w:t>ЮРИДИЧЕСКИЕ НАУКИ /</w:t>
      </w:r>
      <w:r w:rsidRPr="00982D01">
        <w:rPr>
          <w:rFonts w:ascii="Times New Roman" w:hAnsi="Times New Roman" w:cs="Times New Roman"/>
          <w:bCs/>
          <w:sz w:val="28"/>
          <w:szCs w:val="28"/>
        </w:rPr>
        <w:t xml:space="preserve"> </w:t>
      </w:r>
      <w:r w:rsidRPr="00982D01">
        <w:rPr>
          <w:rFonts w:ascii="Times New Roman" w:hAnsi="Times New Roman" w:cs="Times New Roman"/>
          <w:b/>
          <w:sz w:val="28"/>
          <w:szCs w:val="28"/>
          <w:lang w:val="en-US"/>
        </w:rPr>
        <w:t>LEGAL</w:t>
      </w:r>
      <w:r w:rsidRPr="00982D01">
        <w:rPr>
          <w:rFonts w:ascii="Times New Roman" w:hAnsi="Times New Roman" w:cs="Times New Roman"/>
          <w:b/>
          <w:sz w:val="28"/>
          <w:szCs w:val="28"/>
        </w:rPr>
        <w:t xml:space="preserve"> </w:t>
      </w:r>
      <w:r w:rsidRPr="00982D01">
        <w:rPr>
          <w:rFonts w:ascii="Times New Roman" w:hAnsi="Times New Roman" w:cs="Times New Roman"/>
          <w:b/>
          <w:sz w:val="28"/>
          <w:szCs w:val="28"/>
          <w:lang w:val="en-US"/>
        </w:rPr>
        <w:t>SCIENCES</w:t>
      </w:r>
    </w:p>
    <w:p w14:paraId="16FACE56" w14:textId="77777777" w:rsidR="00853BFE" w:rsidRDefault="00853BFE" w:rsidP="00853BFE">
      <w:pPr>
        <w:spacing w:after="0" w:line="360" w:lineRule="auto"/>
        <w:ind w:firstLine="709"/>
        <w:rPr>
          <w:rFonts w:ascii="Times New Roman" w:eastAsia="Calibri" w:hAnsi="Times New Roman" w:cs="Times New Roman"/>
          <w:b/>
          <w:bCs/>
          <w:kern w:val="2"/>
          <w:sz w:val="28"/>
          <w:szCs w:val="28"/>
          <w:lang w:eastAsia="ru-RU"/>
        </w:rPr>
      </w:pPr>
      <w:r w:rsidRPr="00853BFE">
        <w:rPr>
          <w:rFonts w:ascii="Times New Roman" w:eastAsia="Calibri" w:hAnsi="Times New Roman" w:cs="Times New Roman"/>
          <w:b/>
          <w:bCs/>
          <w:kern w:val="2"/>
          <w:sz w:val="28"/>
          <w:szCs w:val="28"/>
          <w:lang w:eastAsia="ru-RU"/>
        </w:rPr>
        <w:lastRenderedPageBreak/>
        <w:t xml:space="preserve">УДК </w:t>
      </w:r>
      <w:proofErr w:type="gramStart"/>
      <w:r w:rsidRPr="00853BFE">
        <w:rPr>
          <w:rFonts w:ascii="Times New Roman" w:eastAsia="Calibri" w:hAnsi="Times New Roman" w:cs="Times New Roman"/>
          <w:b/>
          <w:bCs/>
          <w:kern w:val="2"/>
          <w:sz w:val="28"/>
          <w:szCs w:val="28"/>
          <w:lang w:eastAsia="ru-RU"/>
        </w:rPr>
        <w:t>342 :</w:t>
      </w:r>
      <w:proofErr w:type="gramEnd"/>
      <w:r w:rsidRPr="00853BFE">
        <w:rPr>
          <w:rFonts w:ascii="Times New Roman" w:eastAsia="Calibri" w:hAnsi="Times New Roman" w:cs="Times New Roman"/>
          <w:b/>
          <w:bCs/>
          <w:kern w:val="2"/>
          <w:sz w:val="28"/>
          <w:szCs w:val="28"/>
          <w:lang w:eastAsia="ru-RU"/>
        </w:rPr>
        <w:t xml:space="preserve"> 94(470)</w:t>
      </w:r>
    </w:p>
    <w:p w14:paraId="71B3734A" w14:textId="5459E032" w:rsidR="003578B6" w:rsidRDefault="00853BFE" w:rsidP="00853BFE">
      <w:pPr>
        <w:spacing w:after="0" w:line="360" w:lineRule="auto"/>
        <w:ind w:firstLine="709"/>
        <w:jc w:val="right"/>
        <w:rPr>
          <w:rFonts w:ascii="Times New Roman" w:eastAsia="Calibri" w:hAnsi="Times New Roman" w:cs="Times New Roman"/>
          <w:b/>
          <w:bCs/>
          <w:kern w:val="2"/>
          <w:sz w:val="28"/>
          <w:szCs w:val="28"/>
          <w:lang w:eastAsia="ru-RU"/>
        </w:rPr>
      </w:pPr>
      <w:r w:rsidRPr="00853BFE">
        <w:rPr>
          <w:rFonts w:ascii="Times New Roman" w:eastAsia="Calibri" w:hAnsi="Times New Roman" w:cs="Times New Roman"/>
          <w:b/>
          <w:bCs/>
          <w:kern w:val="2"/>
          <w:sz w:val="28"/>
          <w:szCs w:val="28"/>
          <w:lang w:eastAsia="ru-RU"/>
        </w:rPr>
        <w:br/>
      </w:r>
      <w:r w:rsidR="003578B6" w:rsidRPr="00634710">
        <w:rPr>
          <w:rFonts w:ascii="Times New Roman" w:eastAsia="Calibri" w:hAnsi="Times New Roman" w:cs="Times New Roman"/>
          <w:b/>
          <w:bCs/>
          <w:kern w:val="2"/>
          <w:sz w:val="28"/>
          <w:szCs w:val="28"/>
          <w:lang w:eastAsia="ru-RU"/>
        </w:rPr>
        <w:t>http://doi.org/</w:t>
      </w:r>
      <w:r w:rsidR="003578B6" w:rsidRPr="00634710">
        <w:t xml:space="preserve"> </w:t>
      </w:r>
      <w:r w:rsidR="003578B6" w:rsidRPr="00634710">
        <w:rPr>
          <w:rFonts w:ascii="Times New Roman" w:eastAsia="Calibri" w:hAnsi="Times New Roman" w:cs="Times New Roman"/>
          <w:b/>
          <w:bCs/>
          <w:kern w:val="2"/>
          <w:sz w:val="28"/>
          <w:szCs w:val="28"/>
          <w:lang w:eastAsia="ru-RU"/>
        </w:rPr>
        <w:t>10.37493/2409-1030.2022.2.14</w:t>
      </w:r>
    </w:p>
    <w:p w14:paraId="0C5AE0DC" w14:textId="77777777" w:rsidR="003578B6" w:rsidRPr="00982D01" w:rsidRDefault="003578B6" w:rsidP="003578B6">
      <w:pPr>
        <w:spacing w:after="0" w:line="360" w:lineRule="auto"/>
        <w:ind w:firstLine="709"/>
        <w:jc w:val="right"/>
        <w:rPr>
          <w:rFonts w:ascii="Times New Roman" w:eastAsia="Calibri" w:hAnsi="Times New Roman" w:cs="Times New Roman"/>
          <w:b/>
          <w:bCs/>
          <w:kern w:val="2"/>
          <w:sz w:val="28"/>
          <w:szCs w:val="28"/>
          <w:lang w:eastAsia="ru-RU"/>
        </w:rPr>
      </w:pPr>
      <w:r w:rsidRPr="00982D01">
        <w:rPr>
          <w:rFonts w:ascii="Times New Roman" w:eastAsia="Calibri" w:hAnsi="Times New Roman" w:cs="Times New Roman"/>
          <w:b/>
          <w:bCs/>
          <w:kern w:val="2"/>
          <w:sz w:val="28"/>
          <w:szCs w:val="28"/>
          <w:lang w:eastAsia="ru-RU"/>
        </w:rPr>
        <w:t xml:space="preserve">С.Ю. Королёв </w:t>
      </w:r>
    </w:p>
    <w:p w14:paraId="15711EE2" w14:textId="77777777" w:rsidR="003578B6" w:rsidRPr="00982D01" w:rsidRDefault="003578B6" w:rsidP="003578B6">
      <w:pPr>
        <w:spacing w:after="0" w:line="360" w:lineRule="auto"/>
        <w:ind w:firstLine="709"/>
        <w:jc w:val="center"/>
        <w:rPr>
          <w:rFonts w:ascii="Times New Roman" w:eastAsia="Calibri" w:hAnsi="Times New Roman" w:cs="Times New Roman"/>
          <w:b/>
          <w:bCs/>
          <w:kern w:val="2"/>
          <w:sz w:val="28"/>
          <w:szCs w:val="28"/>
          <w:lang w:eastAsia="ru-RU"/>
        </w:rPr>
      </w:pPr>
      <w:r w:rsidRPr="00982D01">
        <w:rPr>
          <w:rFonts w:ascii="Times New Roman" w:eastAsia="Calibri" w:hAnsi="Times New Roman" w:cs="Times New Roman"/>
          <w:b/>
          <w:sz w:val="28"/>
          <w:szCs w:val="28"/>
          <w:lang w:eastAsia="ru-RU"/>
        </w:rPr>
        <w:t xml:space="preserve">ГЕНЕЗИС ПРАВОВОЙ ПОЛИТИКИ В СФЕРЕ ГОСУДАРСТВЕННОГО ЗЕМЕЛЬНОГО КОНТРОЛЯ (НАДЗОРА) В РОССИЙСКОЙ ФЕДЕРАЦИИ: ОТ ДРЕВНЕЙ РУСИ ДО НАЧАЛА </w:t>
      </w:r>
      <w:r w:rsidRPr="00982D01">
        <w:rPr>
          <w:rFonts w:ascii="Times New Roman" w:eastAsia="Calibri" w:hAnsi="Times New Roman" w:cs="Times New Roman"/>
          <w:b/>
          <w:bCs/>
          <w:kern w:val="2"/>
          <w:sz w:val="28"/>
          <w:szCs w:val="28"/>
          <w:lang w:eastAsia="ru-RU"/>
        </w:rPr>
        <w:t xml:space="preserve">XX ВЕКА </w:t>
      </w:r>
    </w:p>
    <w:p w14:paraId="2FBA781A" w14:textId="77777777" w:rsidR="003578B6" w:rsidRPr="00982D01" w:rsidRDefault="003578B6" w:rsidP="003578B6">
      <w:pPr>
        <w:spacing w:after="0" w:line="360" w:lineRule="auto"/>
        <w:ind w:firstLine="709"/>
        <w:jc w:val="both"/>
        <w:rPr>
          <w:rFonts w:ascii="Times New Roman" w:eastAsia="Calibri" w:hAnsi="Times New Roman" w:cs="Times New Roman"/>
          <w:sz w:val="28"/>
          <w:szCs w:val="28"/>
          <w:lang w:eastAsia="ru-RU"/>
        </w:rPr>
      </w:pPr>
      <w:r w:rsidRPr="00982D01">
        <w:rPr>
          <w:rFonts w:ascii="Times New Roman" w:eastAsia="Calibri" w:hAnsi="Times New Roman" w:cs="Times New Roman"/>
          <w:sz w:val="28"/>
          <w:szCs w:val="28"/>
          <w:lang w:eastAsia="ru-RU"/>
        </w:rPr>
        <w:t xml:space="preserve">В статье дается подробный анализ развития правового института государственного земельного контроля (надзора) начиная с периода Древнерусского государства до начала ХХ века. Актуальность статьи обусловлена большим вниманием государства к обозначенной сфере сегодня, о чем свидетельствуют частое изменение законодательства, регулирующее контрольно-надзорную деятельность в сфере земельных отношений. Цель статьи заключается в проведении </w:t>
      </w:r>
      <w:proofErr w:type="gramStart"/>
      <w:r w:rsidRPr="00982D01">
        <w:rPr>
          <w:rFonts w:ascii="Times New Roman" w:eastAsia="Calibri" w:hAnsi="Times New Roman" w:cs="Times New Roman"/>
          <w:sz w:val="28"/>
          <w:szCs w:val="28"/>
          <w:lang w:eastAsia="ru-RU"/>
        </w:rPr>
        <w:t>правового анализа нормативных актов</w:t>
      </w:r>
      <w:proofErr w:type="gramEnd"/>
      <w:r w:rsidRPr="00982D01">
        <w:rPr>
          <w:rFonts w:ascii="Times New Roman" w:eastAsia="Calibri" w:hAnsi="Times New Roman" w:cs="Times New Roman"/>
          <w:sz w:val="28"/>
          <w:szCs w:val="28"/>
          <w:lang w:eastAsia="ru-RU"/>
        </w:rPr>
        <w:t xml:space="preserve"> действующих в области государственного земельного надзора в обозначенный исторический интервал времени. Поставленные задачи были реализованы при помощи общенаучных методов (анализ, синтез, диалектический метод) и формально-юридического метода. Анализируя законодательство, автор определяет момент начала формирования в России законодательства о земельном контроле (надзоре), задачи, стоящие перед государством на отдельных этапах развития данного направления деятельности. На основе результатов проведенного исследования выявляются общие для всех исторических отрезков закономерности и тенденции.</w:t>
      </w:r>
    </w:p>
    <w:p w14:paraId="1F9E5989" w14:textId="77777777" w:rsidR="003578B6" w:rsidRDefault="003578B6" w:rsidP="003578B6">
      <w:pPr>
        <w:spacing w:after="0" w:line="360" w:lineRule="auto"/>
        <w:ind w:firstLine="709"/>
        <w:jc w:val="both"/>
        <w:rPr>
          <w:rFonts w:ascii="Times New Roman" w:eastAsia="Calibri" w:hAnsi="Times New Roman" w:cs="Times New Roman"/>
          <w:sz w:val="28"/>
          <w:szCs w:val="28"/>
          <w:lang w:eastAsia="ru-RU"/>
        </w:rPr>
      </w:pPr>
      <w:r w:rsidRPr="00982D01">
        <w:rPr>
          <w:rFonts w:ascii="Times New Roman" w:eastAsia="Calibri" w:hAnsi="Times New Roman" w:cs="Times New Roman"/>
          <w:b/>
          <w:sz w:val="28"/>
          <w:szCs w:val="28"/>
          <w:lang w:eastAsia="ru-RU"/>
        </w:rPr>
        <w:t xml:space="preserve">Ключевые слова: </w:t>
      </w:r>
      <w:r w:rsidRPr="00982D01">
        <w:rPr>
          <w:rFonts w:ascii="Times New Roman" w:eastAsia="Calibri" w:hAnsi="Times New Roman" w:cs="Times New Roman"/>
          <w:sz w:val="28"/>
          <w:szCs w:val="28"/>
          <w:lang w:eastAsia="ru-RU"/>
        </w:rPr>
        <w:t>п</w:t>
      </w:r>
      <w:r w:rsidRPr="00982D01">
        <w:rPr>
          <w:rFonts w:ascii="Times New Roman" w:eastAsia="Calibri" w:hAnsi="Times New Roman" w:cs="Times New Roman"/>
          <w:iCs/>
          <w:sz w:val="28"/>
          <w:szCs w:val="28"/>
          <w:lang w:eastAsia="ru-RU"/>
        </w:rPr>
        <w:t xml:space="preserve">равовая политика, государство, право, законодательство, модернизация правовой системы, правовое регулирование, история права, государственный земельный контроль, надзор, </w:t>
      </w:r>
      <w:r w:rsidRPr="00982D01">
        <w:rPr>
          <w:rFonts w:ascii="Times New Roman" w:eastAsia="Calibri" w:hAnsi="Times New Roman" w:cs="Times New Roman"/>
          <w:sz w:val="28"/>
          <w:szCs w:val="28"/>
          <w:lang w:eastAsia="ru-RU"/>
        </w:rPr>
        <w:t>функция управления, эффективное использование земли, охрана земель</w:t>
      </w:r>
      <w:r>
        <w:rPr>
          <w:rFonts w:ascii="Times New Roman" w:eastAsia="Calibri" w:hAnsi="Times New Roman" w:cs="Times New Roman"/>
          <w:sz w:val="28"/>
          <w:szCs w:val="28"/>
          <w:lang w:eastAsia="ru-RU"/>
        </w:rPr>
        <w:t>.</w:t>
      </w:r>
    </w:p>
    <w:p w14:paraId="18DD9950" w14:textId="77777777" w:rsidR="003578B6" w:rsidRDefault="003578B6" w:rsidP="003578B6">
      <w:pPr>
        <w:spacing w:after="0" w:line="360" w:lineRule="auto"/>
        <w:rPr>
          <w:rFonts w:ascii="Times New Roman" w:eastAsia="Calibri" w:hAnsi="Times New Roman" w:cs="Times New Roman"/>
          <w:b/>
          <w:bCs/>
          <w:kern w:val="2"/>
          <w:sz w:val="28"/>
          <w:szCs w:val="28"/>
          <w:lang w:eastAsia="ru-RU"/>
        </w:rPr>
      </w:pPr>
    </w:p>
    <w:p w14:paraId="084F62EA" w14:textId="77777777" w:rsidR="003578B6" w:rsidRPr="00982D01" w:rsidRDefault="003578B6" w:rsidP="003578B6">
      <w:pPr>
        <w:spacing w:after="0" w:line="360" w:lineRule="auto"/>
        <w:ind w:firstLine="709"/>
        <w:jc w:val="right"/>
        <w:rPr>
          <w:rFonts w:ascii="Times New Roman" w:eastAsia="Calibri" w:hAnsi="Times New Roman" w:cs="Times New Roman"/>
          <w:b/>
          <w:sz w:val="28"/>
          <w:szCs w:val="28"/>
          <w:lang w:val="en-US" w:eastAsia="ru-RU"/>
        </w:rPr>
      </w:pPr>
      <w:r w:rsidRPr="00982D01">
        <w:rPr>
          <w:rFonts w:ascii="Times New Roman" w:eastAsia="Calibri" w:hAnsi="Times New Roman" w:cs="Times New Roman"/>
          <w:b/>
          <w:bCs/>
          <w:sz w:val="28"/>
          <w:szCs w:val="28"/>
          <w:lang w:val="en-US" w:eastAsia="ru-RU"/>
        </w:rPr>
        <w:t>Stanislav I. Korolev</w:t>
      </w:r>
      <w:r w:rsidRPr="00982D01">
        <w:rPr>
          <w:rFonts w:ascii="Times New Roman" w:eastAsia="Calibri" w:hAnsi="Times New Roman" w:cs="Times New Roman"/>
          <w:b/>
          <w:sz w:val="28"/>
          <w:szCs w:val="28"/>
          <w:lang w:val="en-US" w:eastAsia="ru-RU"/>
        </w:rPr>
        <w:t xml:space="preserve"> </w:t>
      </w:r>
    </w:p>
    <w:p w14:paraId="68925E1B" w14:textId="77777777" w:rsidR="003578B6" w:rsidRPr="00982D01" w:rsidRDefault="003578B6" w:rsidP="003578B6">
      <w:pPr>
        <w:spacing w:after="0" w:line="360" w:lineRule="auto"/>
        <w:ind w:firstLine="709"/>
        <w:jc w:val="center"/>
        <w:rPr>
          <w:rFonts w:ascii="Times New Roman" w:eastAsia="Calibri" w:hAnsi="Times New Roman" w:cs="Times New Roman"/>
          <w:b/>
          <w:bCs/>
          <w:kern w:val="2"/>
          <w:sz w:val="28"/>
          <w:szCs w:val="28"/>
          <w:lang w:val="en-US" w:eastAsia="ru-RU"/>
        </w:rPr>
      </w:pPr>
      <w:r w:rsidRPr="00982D01">
        <w:rPr>
          <w:rFonts w:ascii="Times New Roman" w:eastAsia="Calibri" w:hAnsi="Times New Roman" w:cs="Times New Roman"/>
          <w:b/>
          <w:bCs/>
          <w:kern w:val="2"/>
          <w:sz w:val="28"/>
          <w:szCs w:val="28"/>
          <w:lang w:val="en-US" w:eastAsia="ru-RU"/>
        </w:rPr>
        <w:lastRenderedPageBreak/>
        <w:t>GENESIS OF LEGAL POLICY IN THE FIELD OF STATE LAND CONTROL (SUPERVISION) IN THE RUSSIAN FEDERATION: FROM ANCIENT RUSSIA TO THE BEGINNING OF THE XX CENTURY</w:t>
      </w:r>
    </w:p>
    <w:p w14:paraId="52312D5D" w14:textId="77777777" w:rsidR="003578B6" w:rsidRPr="00982D01" w:rsidRDefault="003578B6" w:rsidP="003578B6">
      <w:pPr>
        <w:spacing w:after="0" w:line="360" w:lineRule="auto"/>
        <w:ind w:firstLine="709"/>
        <w:jc w:val="both"/>
        <w:rPr>
          <w:rFonts w:ascii="Times New Roman" w:eastAsia="Calibri" w:hAnsi="Times New Roman" w:cs="Times New Roman"/>
          <w:sz w:val="28"/>
          <w:szCs w:val="28"/>
          <w:lang w:val="en-US" w:eastAsia="ru-RU"/>
        </w:rPr>
      </w:pPr>
      <w:r w:rsidRPr="00982D01">
        <w:rPr>
          <w:rFonts w:ascii="Times New Roman" w:eastAsia="Calibri" w:hAnsi="Times New Roman" w:cs="Times New Roman"/>
          <w:sz w:val="28"/>
          <w:szCs w:val="28"/>
          <w:lang w:val="en-US" w:eastAsia="ru-RU"/>
        </w:rPr>
        <w:t>The article provides a detailed analysis of the development of the legal institution of state land control (supervision) from the period of the Old Russian state to the beginning of the twentieth century. The relevance of the article is due to the great attention of the state to the designated area today, as evidenced by frequent changes in legislation regulating control and supervisory activities in the field of land relations. The purpose of the article is to conduct a legal analysis of regulations in force in the field of state land supervision in the designated historical time interval. The tasks were implemented using general scientific methods (analysis, synthesis, dialectical method) and the formal legal method. Analyzing the legislation, the author determines the moment of the beginning of the formation of legislation on land control (supervision) in Russia, the tasks facing the state at certain stages of the development of this area of activity. Based on the results of the conducted research, patterns and trends common to all historical segments are revealed.</w:t>
      </w:r>
    </w:p>
    <w:p w14:paraId="43A636C8" w14:textId="77777777" w:rsidR="003578B6" w:rsidRPr="00982D01" w:rsidRDefault="003578B6" w:rsidP="003578B6">
      <w:pPr>
        <w:spacing w:after="0" w:line="360" w:lineRule="auto"/>
        <w:ind w:firstLine="709"/>
        <w:jc w:val="both"/>
        <w:rPr>
          <w:rFonts w:ascii="Times New Roman" w:eastAsia="Calibri" w:hAnsi="Times New Roman" w:cs="Times New Roman"/>
          <w:sz w:val="28"/>
          <w:szCs w:val="28"/>
          <w:lang w:val="en-US" w:eastAsia="ru-RU"/>
        </w:rPr>
      </w:pPr>
      <w:r w:rsidRPr="00982D01">
        <w:rPr>
          <w:rFonts w:ascii="Times New Roman" w:eastAsia="Calibri" w:hAnsi="Times New Roman" w:cs="Times New Roman"/>
          <w:b/>
          <w:sz w:val="28"/>
          <w:szCs w:val="28"/>
          <w:lang w:val="en-US" w:eastAsia="ru-RU"/>
        </w:rPr>
        <w:t>Key words:</w:t>
      </w:r>
      <w:r w:rsidRPr="00982D01">
        <w:rPr>
          <w:rFonts w:ascii="Times New Roman" w:eastAsia="Calibri" w:hAnsi="Times New Roman" w:cs="Times New Roman"/>
          <w:sz w:val="28"/>
          <w:szCs w:val="28"/>
          <w:lang w:val="en-US" w:eastAsia="ru-RU"/>
        </w:rPr>
        <w:t xml:space="preserve"> legal policy, state, law, legislation, modernization of the legal system, legal regulation, history of law, state land control, supervision, management function, effective use of land, land protection</w:t>
      </w:r>
    </w:p>
    <w:p w14:paraId="5A906302" w14:textId="77777777" w:rsidR="003578B6" w:rsidRDefault="003578B6" w:rsidP="003578B6">
      <w:pPr>
        <w:spacing w:after="0" w:line="360" w:lineRule="auto"/>
        <w:ind w:left="-567" w:right="283" w:firstLine="709"/>
        <w:jc w:val="both"/>
        <w:rPr>
          <w:rFonts w:ascii="Times New Roman" w:hAnsi="Times New Roman" w:cs="Times New Roman"/>
          <w:b/>
          <w:bCs/>
          <w:sz w:val="28"/>
          <w:szCs w:val="28"/>
          <w:lang w:val="en-US"/>
        </w:rPr>
      </w:pPr>
    </w:p>
    <w:p w14:paraId="45EF52CF" w14:textId="77777777" w:rsidR="00853BFE" w:rsidRDefault="00853BFE" w:rsidP="00853BFE">
      <w:pPr>
        <w:spacing w:after="0" w:line="240" w:lineRule="auto"/>
        <w:ind w:firstLine="709"/>
        <w:jc w:val="both"/>
        <w:rPr>
          <w:rFonts w:ascii="Times New Roman" w:hAnsi="Times New Roman" w:cs="Times New Roman"/>
          <w:b/>
          <w:sz w:val="28"/>
          <w:szCs w:val="28"/>
        </w:rPr>
      </w:pPr>
      <w:r w:rsidRPr="00982D01">
        <w:rPr>
          <w:rFonts w:ascii="Times New Roman" w:hAnsi="Times New Roman" w:cs="Times New Roman"/>
          <w:b/>
          <w:sz w:val="28"/>
          <w:szCs w:val="28"/>
        </w:rPr>
        <w:t>УДК 343.3/.7</w:t>
      </w:r>
    </w:p>
    <w:p w14:paraId="0948BA93" w14:textId="77777777" w:rsidR="00853BFE" w:rsidRPr="00982D01" w:rsidRDefault="00853BFE" w:rsidP="00853BFE">
      <w:pPr>
        <w:spacing w:after="0" w:line="240" w:lineRule="auto"/>
        <w:ind w:firstLine="709"/>
        <w:jc w:val="right"/>
        <w:rPr>
          <w:rFonts w:ascii="Times New Roman" w:hAnsi="Times New Roman" w:cs="Times New Roman"/>
          <w:b/>
          <w:sz w:val="28"/>
          <w:szCs w:val="28"/>
        </w:rPr>
      </w:pPr>
      <w:r w:rsidRPr="00E9151C">
        <w:rPr>
          <w:rFonts w:ascii="Times New Roman" w:hAnsi="Times New Roman" w:cs="Times New Roman"/>
          <w:b/>
          <w:sz w:val="28"/>
          <w:szCs w:val="28"/>
        </w:rPr>
        <w:t>http://doi.org/10.37493/2409-1030.2022.2.15</w:t>
      </w:r>
    </w:p>
    <w:p w14:paraId="462A580B" w14:textId="77777777" w:rsidR="00853BFE" w:rsidRPr="00982D01" w:rsidRDefault="00853BFE" w:rsidP="00853BFE">
      <w:pPr>
        <w:spacing w:after="0" w:line="240" w:lineRule="auto"/>
        <w:ind w:firstLine="709"/>
        <w:jc w:val="right"/>
        <w:rPr>
          <w:rFonts w:ascii="Times New Roman" w:hAnsi="Times New Roman" w:cs="Times New Roman"/>
          <w:b/>
          <w:sz w:val="28"/>
          <w:szCs w:val="28"/>
        </w:rPr>
      </w:pPr>
      <w:r w:rsidRPr="00982D01">
        <w:rPr>
          <w:rFonts w:ascii="Times New Roman" w:hAnsi="Times New Roman" w:cs="Times New Roman"/>
          <w:b/>
          <w:sz w:val="28"/>
          <w:szCs w:val="28"/>
        </w:rPr>
        <w:t xml:space="preserve">Т.Г. </w:t>
      </w:r>
      <w:proofErr w:type="spellStart"/>
      <w:r w:rsidRPr="00982D01">
        <w:rPr>
          <w:rFonts w:ascii="Times New Roman" w:hAnsi="Times New Roman" w:cs="Times New Roman"/>
          <w:b/>
          <w:sz w:val="28"/>
          <w:szCs w:val="28"/>
        </w:rPr>
        <w:t>Лепина</w:t>
      </w:r>
      <w:proofErr w:type="spellEnd"/>
      <w:r w:rsidRPr="00982D01">
        <w:rPr>
          <w:rFonts w:ascii="Times New Roman" w:hAnsi="Times New Roman" w:cs="Times New Roman"/>
          <w:b/>
          <w:sz w:val="28"/>
          <w:szCs w:val="28"/>
        </w:rPr>
        <w:t xml:space="preserve"> </w:t>
      </w:r>
    </w:p>
    <w:p w14:paraId="61807224" w14:textId="77777777" w:rsidR="00853BFE" w:rsidRPr="00982D01" w:rsidRDefault="00853BFE" w:rsidP="00853BFE">
      <w:pPr>
        <w:spacing w:after="0" w:line="360" w:lineRule="auto"/>
        <w:ind w:firstLine="709"/>
        <w:jc w:val="center"/>
        <w:rPr>
          <w:rFonts w:ascii="Times New Roman" w:hAnsi="Times New Roman" w:cs="Times New Roman"/>
          <w:b/>
          <w:sz w:val="28"/>
          <w:szCs w:val="28"/>
        </w:rPr>
      </w:pPr>
      <w:r w:rsidRPr="00982D01">
        <w:rPr>
          <w:rFonts w:ascii="Times New Roman" w:hAnsi="Times New Roman" w:cs="Times New Roman"/>
          <w:b/>
          <w:sz w:val="28"/>
          <w:szCs w:val="28"/>
        </w:rPr>
        <w:t>ОТГРАНИЧЕНИЕ ХУЛИГАНСТВА ОТ ВАНДАЛИЗМА И МАССОВЫХ БЕСПОРЯДКОВ ПО ОТДЕЛЬНЫМ ПРИЗНАКАМ СОСТАВА ПРЕСТУПЛЕНИЯ</w:t>
      </w:r>
    </w:p>
    <w:p w14:paraId="17A7A83F" w14:textId="77777777" w:rsidR="00853BFE" w:rsidRPr="00982D01" w:rsidRDefault="00853BFE" w:rsidP="00853BFE">
      <w:pPr>
        <w:spacing w:after="0" w:line="360" w:lineRule="auto"/>
        <w:ind w:firstLine="709"/>
        <w:contextualSpacing/>
        <w:jc w:val="both"/>
        <w:rPr>
          <w:rFonts w:ascii="Times New Roman" w:hAnsi="Times New Roman" w:cs="Times New Roman"/>
          <w:color w:val="000000"/>
          <w:sz w:val="28"/>
          <w:szCs w:val="28"/>
        </w:rPr>
      </w:pPr>
      <w:r w:rsidRPr="00982D01">
        <w:rPr>
          <w:rFonts w:ascii="Times New Roman" w:hAnsi="Times New Roman" w:cs="Times New Roman"/>
          <w:sz w:val="28"/>
          <w:szCs w:val="28"/>
        </w:rPr>
        <w:t xml:space="preserve">Разграничение смежных составов преступлений главы 24 УК РФ зачастую вызывает сложности. Это обусловлено тем, что данные общественно опасные деяния объединяет наличие общих признаков. Так, видовым объектом этих преступлений является общественная безопасность, непосредственным – общественный порядок. Нередки случаи возникновения </w:t>
      </w:r>
      <w:r w:rsidRPr="00982D01">
        <w:rPr>
          <w:rFonts w:ascii="Times New Roman" w:hAnsi="Times New Roman" w:cs="Times New Roman"/>
          <w:sz w:val="28"/>
          <w:szCs w:val="28"/>
        </w:rPr>
        <w:lastRenderedPageBreak/>
        <w:t xml:space="preserve">ошибок в правоприменительной деятельности, связанные с неправильной квалификацией. Проблема конкуренции перечисленных составов не теряет своей актуальности. Устранению этих сложностей способствует сравнительный анализ конкурирующих правовых норм. В частности, тех, которые предусматривают привлечение к уголовной ответственности за совершение хулиганства, вандализма, участие в массовых беспорядках. Перечисленные общественно опасные деяния имеют отличительные черты, позволяющие правоприменителю осуществить правильную квалификацию. В представленной работе осуществлен сравнительно-правовой анализ признаков составов преступлений, предусмотренных статьями 212, 213, 214 УК. Несмотря на то, что у этих деяний одинаковый видовой объект (общественная безопасность), между ними существуют отличия по признакам непосредственного объекта и предмета. Кроме того, рассмотренные общественно опасные деяния отличаются по способу совершения (наличию либо отсутствию признака демонстративности), признакам субъекта, мотивам и другим элементам состава преступления. </w:t>
      </w:r>
      <w:r w:rsidRPr="00982D01">
        <w:rPr>
          <w:rFonts w:ascii="Times New Roman" w:hAnsi="Times New Roman" w:cs="Times New Roman"/>
          <w:color w:val="000000"/>
          <w:sz w:val="28"/>
          <w:szCs w:val="28"/>
        </w:rPr>
        <w:t xml:space="preserve">Отграничение хулиганства от вандализма и массовых беспорядков должно осуществляться на основе сопоставления всех признаков и элементов в комплексе. </w:t>
      </w:r>
    </w:p>
    <w:p w14:paraId="15EE3236" w14:textId="77777777" w:rsidR="00853BFE" w:rsidRPr="00982D01" w:rsidRDefault="00853BFE" w:rsidP="00853BFE">
      <w:pPr>
        <w:spacing w:after="0" w:line="360" w:lineRule="auto"/>
        <w:ind w:firstLine="709"/>
        <w:contextualSpacing/>
        <w:jc w:val="both"/>
        <w:rPr>
          <w:rFonts w:ascii="Times New Roman" w:hAnsi="Times New Roman" w:cs="Times New Roman"/>
          <w:sz w:val="28"/>
          <w:szCs w:val="28"/>
        </w:rPr>
      </w:pPr>
      <w:r w:rsidRPr="00982D01">
        <w:rPr>
          <w:rFonts w:ascii="Times New Roman" w:hAnsi="Times New Roman" w:cs="Times New Roman"/>
          <w:color w:val="000000"/>
          <w:sz w:val="28"/>
          <w:szCs w:val="28"/>
        </w:rPr>
        <w:t xml:space="preserve">По нашему мнению, </w:t>
      </w:r>
      <w:r w:rsidRPr="00982D01">
        <w:rPr>
          <w:rFonts w:ascii="Times New Roman" w:hAnsi="Times New Roman" w:cs="Times New Roman"/>
          <w:sz w:val="28"/>
          <w:szCs w:val="28"/>
        </w:rPr>
        <w:t>в</w:t>
      </w:r>
      <w:r w:rsidRPr="00982D01">
        <w:rPr>
          <w:rFonts w:ascii="Times New Roman" w:hAnsi="Times New Roman" w:cs="Times New Roman"/>
          <w:sz w:val="28"/>
          <w:szCs w:val="28"/>
          <w:shd w:val="clear" w:color="auto" w:fill="FFFFFF"/>
        </w:rPr>
        <w:t>ключение в часть первую ст. 213 УК пункта «б» привело к сложностям в правоприменительной деятельности. Хулиганские и экстремистские мотивы являются взаимоисключающими. Хулиганство совершается без какого-либо существенного повода и не должно быть связано с личным неприязненным отношением. Экстремистские мотивы нельзя приравнивать к малозначительному поводу. Следует согласиться с авторами, предлагающими исключить п. «б» ч. 1 ст. 213 УК РФ из уголовного закона.</w:t>
      </w:r>
      <w:r w:rsidRPr="00982D01">
        <w:rPr>
          <w:rFonts w:ascii="Times New Roman" w:hAnsi="Times New Roman" w:cs="Times New Roman"/>
          <w:sz w:val="28"/>
          <w:szCs w:val="28"/>
        </w:rPr>
        <w:t xml:space="preserve"> </w:t>
      </w:r>
    </w:p>
    <w:p w14:paraId="6E08F35E" w14:textId="77777777" w:rsidR="00853BFE" w:rsidRDefault="00853BFE" w:rsidP="00853BFE">
      <w:pPr>
        <w:spacing w:after="0" w:line="360" w:lineRule="auto"/>
        <w:ind w:firstLine="709"/>
        <w:contextualSpacing/>
        <w:jc w:val="both"/>
        <w:rPr>
          <w:rFonts w:ascii="Times New Roman" w:hAnsi="Times New Roman" w:cs="Times New Roman"/>
          <w:sz w:val="28"/>
          <w:szCs w:val="28"/>
        </w:rPr>
      </w:pPr>
      <w:r w:rsidRPr="00982D01">
        <w:rPr>
          <w:rFonts w:ascii="Times New Roman" w:hAnsi="Times New Roman" w:cs="Times New Roman"/>
          <w:b/>
          <w:sz w:val="28"/>
          <w:szCs w:val="28"/>
        </w:rPr>
        <w:t>Ключевые слова:</w:t>
      </w:r>
      <w:r w:rsidRPr="00982D01">
        <w:rPr>
          <w:rFonts w:ascii="Times New Roman" w:hAnsi="Times New Roman" w:cs="Times New Roman"/>
          <w:sz w:val="28"/>
          <w:szCs w:val="28"/>
        </w:rPr>
        <w:t xml:space="preserve"> хулиганство, вандализм, массовые беспорядки, отграничение.</w:t>
      </w:r>
    </w:p>
    <w:p w14:paraId="686D4E5D" w14:textId="77777777" w:rsidR="00853BFE" w:rsidRPr="00982D01" w:rsidRDefault="00853BFE" w:rsidP="00853BFE">
      <w:pPr>
        <w:tabs>
          <w:tab w:val="left" w:pos="8040"/>
        </w:tabs>
        <w:spacing w:after="0" w:line="240" w:lineRule="auto"/>
        <w:jc w:val="right"/>
        <w:rPr>
          <w:rFonts w:ascii="Times New Roman" w:hAnsi="Times New Roman" w:cs="Times New Roman"/>
          <w:b/>
          <w:sz w:val="28"/>
          <w:szCs w:val="28"/>
          <w:lang w:val="en-US"/>
        </w:rPr>
      </w:pPr>
      <w:r w:rsidRPr="00982D01">
        <w:rPr>
          <w:rFonts w:ascii="Times New Roman" w:hAnsi="Times New Roman" w:cs="Times New Roman"/>
          <w:b/>
          <w:sz w:val="28"/>
          <w:szCs w:val="28"/>
          <w:lang w:val="en-US"/>
        </w:rPr>
        <w:t xml:space="preserve">Tatyana G. </w:t>
      </w:r>
      <w:proofErr w:type="spellStart"/>
      <w:r w:rsidRPr="00982D01">
        <w:rPr>
          <w:rFonts w:ascii="Times New Roman" w:hAnsi="Times New Roman" w:cs="Times New Roman"/>
          <w:b/>
          <w:sz w:val="28"/>
          <w:szCs w:val="28"/>
          <w:lang w:val="en-US"/>
        </w:rPr>
        <w:t>Lepina</w:t>
      </w:r>
      <w:proofErr w:type="spellEnd"/>
    </w:p>
    <w:p w14:paraId="4464314F" w14:textId="77777777" w:rsidR="00853BFE" w:rsidRPr="00982D01" w:rsidRDefault="00853BFE" w:rsidP="00853BFE">
      <w:pPr>
        <w:spacing w:after="0" w:line="360" w:lineRule="auto"/>
        <w:ind w:firstLine="709"/>
        <w:jc w:val="center"/>
        <w:rPr>
          <w:rFonts w:ascii="Times New Roman" w:hAnsi="Times New Roman" w:cs="Times New Roman"/>
          <w:b/>
          <w:sz w:val="28"/>
          <w:szCs w:val="28"/>
          <w:lang w:val="en-US"/>
        </w:rPr>
      </w:pPr>
      <w:r w:rsidRPr="00982D01">
        <w:rPr>
          <w:rFonts w:ascii="Times New Roman" w:hAnsi="Times New Roman" w:cs="Times New Roman"/>
          <w:b/>
          <w:sz w:val="28"/>
          <w:szCs w:val="28"/>
          <w:lang w:val="en-US"/>
        </w:rPr>
        <w:t>DELIMITATION OF HOOLIGANISM FROM VANDALISM AND MASS RIOTS ON CERTAIN SIGNS OF CRIMINAL COMPOSITION</w:t>
      </w:r>
    </w:p>
    <w:p w14:paraId="52C47046" w14:textId="77777777" w:rsidR="00853BFE" w:rsidRPr="00982D01" w:rsidRDefault="00853BFE" w:rsidP="00853BFE">
      <w:pPr>
        <w:spacing w:after="0" w:line="360" w:lineRule="auto"/>
        <w:ind w:firstLine="709"/>
        <w:jc w:val="both"/>
        <w:rPr>
          <w:rFonts w:ascii="Times New Roman" w:hAnsi="Times New Roman" w:cs="Times New Roman"/>
          <w:sz w:val="28"/>
          <w:szCs w:val="28"/>
          <w:lang w:val="en-US"/>
        </w:rPr>
      </w:pPr>
      <w:r w:rsidRPr="00982D01">
        <w:rPr>
          <w:rFonts w:ascii="Times New Roman" w:hAnsi="Times New Roman" w:cs="Times New Roman"/>
          <w:sz w:val="28"/>
          <w:szCs w:val="28"/>
          <w:lang w:val="en-US"/>
        </w:rPr>
        <w:lastRenderedPageBreak/>
        <w:t>The distinction between related offenses of Chapter 24 of the Criminal Code of the Russian Federation often causes difficulties. This is due to the fact that these socially dangerous acts are united by the presence of common features. Thus, the specific object of these crimes is public security, the direct object is public order. There are frequent cases of errors in law enforcement activities associated with incorrect qualifications. The problem of competition of the listed compositions does not lose its relevance. The elimination of these complexities is facilitated by a comparative analysis of competing legal norms. In particular, those that provide for bringing to criminal responsibility for committing hooliganism, vandalism, participation in mass riots. The listed socially dangerous acts have distinctive features that allow the right holder to carry out the correct qualification. In the presented work, a comparative legal analysis of the signs of the offenses provided for by Articles 212, 213, 214 of the Criminal Code is carried out. Despite the fact that these acts have the same specific object (public safety), there are differences between them on the basis of the direct object and subject. In addition, the considered socially dangerous acts differ in the way they were committed (the presence or absence of a sign of demonstrativeness), the characteristics of the subject, motives and other elements of the crime. Distinguishing hooliganism from vandalism and riots should be carried out on the basis of a comparison of all signs and elements in the complex.</w:t>
      </w:r>
    </w:p>
    <w:p w14:paraId="55141FB2" w14:textId="77777777" w:rsidR="00853BFE" w:rsidRPr="00982D01" w:rsidRDefault="00853BFE" w:rsidP="00853BFE">
      <w:pPr>
        <w:spacing w:after="0" w:line="360" w:lineRule="auto"/>
        <w:ind w:firstLine="709"/>
        <w:jc w:val="both"/>
        <w:rPr>
          <w:rFonts w:ascii="Times New Roman" w:hAnsi="Times New Roman" w:cs="Times New Roman"/>
          <w:sz w:val="28"/>
          <w:szCs w:val="28"/>
          <w:lang w:val="en-US"/>
        </w:rPr>
      </w:pPr>
      <w:r w:rsidRPr="00982D01">
        <w:rPr>
          <w:rFonts w:ascii="Times New Roman" w:hAnsi="Times New Roman" w:cs="Times New Roman"/>
          <w:sz w:val="28"/>
          <w:szCs w:val="28"/>
          <w:lang w:val="en-US"/>
        </w:rPr>
        <w:t>In our opinion, the inclusion in the first part of Art. 213 of the Criminal Code of paragraph "b" led to difficulties in law enforcement. Hooligan and extremist motives are mutually exclusive. Hooliganism is committed without any significant reason and should not be associated with a personal hostile attitude. Extremist motives cannot be equated with an insignificant cause. One should agree with the authors who propose to exclude paragraph “b” of Part 1 of Art. 213 of the Criminal Code of the Russian Federation from the criminal law.</w:t>
      </w:r>
    </w:p>
    <w:p w14:paraId="0010C995" w14:textId="77777777" w:rsidR="00853BFE" w:rsidRPr="00982D01" w:rsidRDefault="00853BFE" w:rsidP="00853BFE">
      <w:pPr>
        <w:spacing w:after="0" w:line="360" w:lineRule="auto"/>
        <w:ind w:firstLine="709"/>
        <w:jc w:val="both"/>
        <w:rPr>
          <w:rFonts w:ascii="Times New Roman" w:hAnsi="Times New Roman" w:cs="Times New Roman"/>
          <w:sz w:val="28"/>
          <w:szCs w:val="28"/>
          <w:lang w:val="en-US"/>
        </w:rPr>
      </w:pPr>
      <w:r w:rsidRPr="00982D01">
        <w:rPr>
          <w:rFonts w:ascii="Times New Roman" w:hAnsi="Times New Roman" w:cs="Times New Roman"/>
          <w:b/>
          <w:sz w:val="28"/>
          <w:szCs w:val="28"/>
          <w:lang w:val="en-US"/>
        </w:rPr>
        <w:t>Key words:</w:t>
      </w:r>
      <w:r w:rsidRPr="00982D01">
        <w:rPr>
          <w:rFonts w:ascii="Times New Roman" w:hAnsi="Times New Roman" w:cs="Times New Roman"/>
          <w:sz w:val="28"/>
          <w:szCs w:val="28"/>
          <w:lang w:val="en-US"/>
        </w:rPr>
        <w:t xml:space="preserve"> hooliganism, vandalism, mass riots, delimitation.</w:t>
      </w:r>
    </w:p>
    <w:p w14:paraId="4D2027B5" w14:textId="77777777" w:rsidR="00853BFE" w:rsidRPr="00982D01" w:rsidRDefault="00853BFE" w:rsidP="00853BFE">
      <w:pPr>
        <w:spacing w:after="0" w:line="360" w:lineRule="auto"/>
        <w:ind w:firstLine="709"/>
        <w:rPr>
          <w:rFonts w:ascii="Times New Roman" w:eastAsia="Times New Roman" w:hAnsi="Times New Roman" w:cs="Times New Roman"/>
          <w:b/>
          <w:bCs/>
          <w:sz w:val="28"/>
          <w:szCs w:val="28"/>
          <w:lang w:eastAsia="ru-RU"/>
        </w:rPr>
      </w:pPr>
      <w:r w:rsidRPr="00982D01">
        <w:rPr>
          <w:rFonts w:ascii="Times New Roman" w:eastAsia="Times New Roman" w:hAnsi="Times New Roman" w:cs="Times New Roman"/>
          <w:b/>
          <w:bCs/>
          <w:sz w:val="28"/>
          <w:szCs w:val="28"/>
          <w:lang w:eastAsia="ru-RU"/>
        </w:rPr>
        <w:t>УДК 343.01</w:t>
      </w:r>
    </w:p>
    <w:p w14:paraId="65A0245E" w14:textId="77777777" w:rsidR="00853BFE" w:rsidRPr="00E77B16" w:rsidRDefault="00853BFE" w:rsidP="00853BFE">
      <w:pPr>
        <w:spacing w:after="0" w:line="360" w:lineRule="auto"/>
        <w:ind w:firstLine="709"/>
        <w:jc w:val="right"/>
        <w:rPr>
          <w:rFonts w:ascii="Times New Roman" w:eastAsia="Times New Roman" w:hAnsi="Times New Roman" w:cs="Times New Roman"/>
          <w:b/>
          <w:bCs/>
          <w:sz w:val="28"/>
          <w:szCs w:val="28"/>
          <w:lang w:eastAsia="ru-RU"/>
        </w:rPr>
      </w:pPr>
      <w:r w:rsidRPr="00E77B16">
        <w:rPr>
          <w:rFonts w:ascii="Times New Roman" w:eastAsia="Times New Roman" w:hAnsi="Times New Roman" w:cs="Times New Roman"/>
          <w:b/>
          <w:bCs/>
          <w:sz w:val="28"/>
          <w:szCs w:val="28"/>
          <w:lang w:eastAsia="ru-RU"/>
        </w:rPr>
        <w:t>http://doi.org/10.37493/2409-1030.2022.2.16</w:t>
      </w:r>
    </w:p>
    <w:p w14:paraId="4BA00D47" w14:textId="77777777" w:rsidR="00853BFE" w:rsidRPr="00982D01" w:rsidRDefault="00853BFE" w:rsidP="00853BFE">
      <w:pPr>
        <w:spacing w:after="0" w:line="360" w:lineRule="auto"/>
        <w:jc w:val="right"/>
        <w:rPr>
          <w:rFonts w:ascii="Times New Roman" w:eastAsia="Times New Roman" w:hAnsi="Times New Roman" w:cs="Times New Roman"/>
          <w:b/>
          <w:sz w:val="28"/>
          <w:szCs w:val="28"/>
          <w:lang w:eastAsia="ru-RU"/>
        </w:rPr>
      </w:pPr>
      <w:r w:rsidRPr="00982D01">
        <w:rPr>
          <w:rFonts w:ascii="Times New Roman" w:eastAsia="Times New Roman" w:hAnsi="Times New Roman" w:cs="Times New Roman"/>
          <w:b/>
          <w:sz w:val="28"/>
          <w:szCs w:val="28"/>
          <w:lang w:eastAsia="ru-RU"/>
        </w:rPr>
        <w:lastRenderedPageBreak/>
        <w:t>Н.В. Мирошниченко</w:t>
      </w:r>
    </w:p>
    <w:p w14:paraId="562A428B" w14:textId="77777777" w:rsidR="00853BFE" w:rsidRPr="00982D01" w:rsidRDefault="00853BFE" w:rsidP="00853BFE">
      <w:pPr>
        <w:spacing w:after="0" w:line="360" w:lineRule="auto"/>
        <w:jc w:val="right"/>
        <w:rPr>
          <w:rFonts w:ascii="Times New Roman" w:eastAsia="Times New Roman" w:hAnsi="Times New Roman" w:cs="Times New Roman"/>
          <w:b/>
          <w:sz w:val="28"/>
          <w:szCs w:val="28"/>
          <w:lang w:eastAsia="ru-RU"/>
        </w:rPr>
      </w:pPr>
      <w:r w:rsidRPr="00982D01">
        <w:rPr>
          <w:rFonts w:ascii="Times New Roman" w:eastAsia="Times New Roman" w:hAnsi="Times New Roman" w:cs="Times New Roman"/>
          <w:b/>
          <w:sz w:val="28"/>
          <w:szCs w:val="28"/>
          <w:lang w:eastAsia="ru-RU"/>
        </w:rPr>
        <w:t xml:space="preserve"> В.Ю. Максимов</w:t>
      </w:r>
    </w:p>
    <w:p w14:paraId="2E47C1F6" w14:textId="77777777" w:rsidR="00853BFE" w:rsidRPr="00982D01" w:rsidRDefault="00853BFE" w:rsidP="00853BFE">
      <w:pPr>
        <w:spacing w:after="0" w:line="360" w:lineRule="auto"/>
        <w:jc w:val="center"/>
        <w:rPr>
          <w:rFonts w:ascii="Times New Roman" w:eastAsia="Times New Roman" w:hAnsi="Times New Roman" w:cs="Times New Roman"/>
          <w:b/>
          <w:sz w:val="28"/>
          <w:szCs w:val="28"/>
          <w:lang w:eastAsia="ru-RU"/>
        </w:rPr>
      </w:pPr>
      <w:r w:rsidRPr="00982D01">
        <w:rPr>
          <w:rFonts w:ascii="Times New Roman" w:eastAsia="Times New Roman" w:hAnsi="Times New Roman" w:cs="Times New Roman"/>
          <w:b/>
          <w:sz w:val="28"/>
          <w:szCs w:val="28"/>
          <w:lang w:eastAsia="ru-RU"/>
        </w:rPr>
        <w:t>ОБ ОБЪЕКТЕ И ПРЕДМЕТЕ УГОЛОВНО-ПРАВОВОЙ КОМПАРАТИВИСТИКИ</w:t>
      </w:r>
    </w:p>
    <w:p w14:paraId="11E8D0B0" w14:textId="77777777" w:rsidR="00853BFE" w:rsidRPr="00982D01" w:rsidRDefault="00853BFE" w:rsidP="00853BFE">
      <w:pPr>
        <w:spacing w:after="0" w:line="360" w:lineRule="auto"/>
        <w:ind w:firstLine="709"/>
        <w:jc w:val="both"/>
        <w:rPr>
          <w:rFonts w:ascii="Times New Roman" w:eastAsia="Times New Roman" w:hAnsi="Times New Roman" w:cs="Times New Roman"/>
          <w:sz w:val="28"/>
          <w:szCs w:val="28"/>
          <w:lang w:eastAsia="ru-RU"/>
        </w:rPr>
      </w:pPr>
      <w:r w:rsidRPr="00982D01">
        <w:rPr>
          <w:rFonts w:ascii="Times New Roman" w:eastAsia="Times New Roman" w:hAnsi="Times New Roman" w:cs="Times New Roman"/>
          <w:sz w:val="28"/>
          <w:szCs w:val="28"/>
          <w:lang w:eastAsia="ru-RU"/>
        </w:rPr>
        <w:t>Практически возрожденная в новой России доктрина правовой компаративистики является одним из самых динамично развивающихся и перспективных направлений отечественной юридической науки современности. В силу ее традиционного отраслевого деления не является исключением и ее уголовно-правовая часть, свой взгляд на объект и предмет которой предлагают авторы статьи. Работа состоит из нескольких частей, логически последовательно приводящих читателя к пониманию объемности, многоплановости и системности предмета сравнительного уголовного правоведения. Определившись в самом начале статьи с пониманием объекта юридической компаративистики (который определяется как совокупность правовых систем отдельных</w:t>
      </w:r>
      <w:r w:rsidRPr="00982D01">
        <w:rPr>
          <w:rFonts w:ascii="Calibri" w:eastAsia="Times New Roman" w:hAnsi="Calibri" w:cs="Times New Roman"/>
          <w:sz w:val="28"/>
          <w:szCs w:val="28"/>
          <w:lang w:eastAsia="ru-RU"/>
        </w:rPr>
        <w:t xml:space="preserve"> </w:t>
      </w:r>
      <w:r w:rsidRPr="00982D01">
        <w:rPr>
          <w:rFonts w:ascii="Times New Roman" w:eastAsia="Times New Roman" w:hAnsi="Times New Roman" w:cs="Times New Roman"/>
          <w:sz w:val="28"/>
          <w:szCs w:val="28"/>
          <w:lang w:eastAsia="ru-RU"/>
        </w:rPr>
        <w:t xml:space="preserve">стран), авторы, прежде всего, обозначают ряд параметров доктринальной сложности данного объекта: терминологических, методологических, исторических, юридико-технических и т.д. Так, сам термин «правовая система» в настоящее время может трактоваться, по крайней мере, в трех основных значениях, а темпоральный фактор делает его к тому же трудно фиксируемым. В качестве примера во второй части статьи приводятся краткие характеристики трех ведущих правовых семей современности и четырех представляющих две первые – англо-американскую и романо-германскую – правовых семей (в авторском понимании данного термина). Особое внимание уделяется при этом исторической (т.е. объективной) обусловленности глубокого своеобразия и сложной «многослойности» отдельных национальных правовых систем стран, даже принадлежащих к единой семье современного правового мира. Проведенное, таким образом, исследование позволяет авторам в третьей, резюмирующей части статьи сформулировать не просто предмет уголовно-правовой компаративистики, как было декларировано ими в самом названии работы, а </w:t>
      </w:r>
      <w:r w:rsidRPr="00982D01">
        <w:rPr>
          <w:rFonts w:ascii="Times New Roman" w:eastAsia="Times New Roman" w:hAnsi="Times New Roman" w:cs="Times New Roman"/>
          <w:sz w:val="28"/>
          <w:szCs w:val="28"/>
          <w:lang w:eastAsia="ru-RU"/>
        </w:rPr>
        <w:lastRenderedPageBreak/>
        <w:t>его наиболее актуальную часть, которая, по их мнению, выражена тремя уровнями проблем, возникающих в процессе изучения уголовно-правовых составляющих правовых систем отдельных стран и их сравнения с подсистемой уголовного права отечественной правовой системы.</w:t>
      </w:r>
    </w:p>
    <w:p w14:paraId="2B9AAD01" w14:textId="77777777" w:rsidR="00853BFE" w:rsidRDefault="00853BFE" w:rsidP="00853BFE">
      <w:pPr>
        <w:spacing w:after="0" w:line="360" w:lineRule="auto"/>
        <w:ind w:firstLine="709"/>
        <w:jc w:val="both"/>
        <w:rPr>
          <w:rFonts w:ascii="Times New Roman" w:eastAsia="Times New Roman" w:hAnsi="Times New Roman" w:cs="Times New Roman"/>
          <w:bCs/>
          <w:sz w:val="28"/>
          <w:szCs w:val="28"/>
          <w:lang w:eastAsia="ru-RU"/>
        </w:rPr>
      </w:pPr>
      <w:r w:rsidRPr="00982D01">
        <w:rPr>
          <w:rFonts w:ascii="Times New Roman" w:eastAsia="Times New Roman" w:hAnsi="Times New Roman" w:cs="Times New Roman"/>
          <w:b/>
          <w:sz w:val="28"/>
          <w:szCs w:val="28"/>
          <w:lang w:eastAsia="ru-RU"/>
        </w:rPr>
        <w:t xml:space="preserve">Ключевые слова: </w:t>
      </w:r>
      <w:r w:rsidRPr="00982D01">
        <w:rPr>
          <w:rFonts w:ascii="Times New Roman" w:eastAsia="Times New Roman" w:hAnsi="Times New Roman" w:cs="Times New Roman"/>
          <w:bCs/>
          <w:sz w:val="28"/>
          <w:szCs w:val="28"/>
          <w:lang w:eastAsia="ru-RU"/>
        </w:rPr>
        <w:t>объект и предмет науки, сравнительное правоведение, уголовно-правовая компаративистика, правовая семья, правовая система, система права, законодательство.</w:t>
      </w:r>
    </w:p>
    <w:p w14:paraId="67EBDAA0" w14:textId="77777777" w:rsidR="00853BFE" w:rsidRPr="00982D01" w:rsidRDefault="00853BFE" w:rsidP="00853BFE">
      <w:pPr>
        <w:spacing w:after="0" w:line="360" w:lineRule="auto"/>
        <w:ind w:firstLine="709"/>
        <w:jc w:val="right"/>
        <w:rPr>
          <w:rFonts w:ascii="Times New Roman" w:eastAsia="Times New Roman" w:hAnsi="Times New Roman" w:cs="Times New Roman"/>
          <w:b/>
          <w:sz w:val="28"/>
          <w:szCs w:val="28"/>
          <w:lang w:val="en-US" w:eastAsia="ru-RU"/>
        </w:rPr>
      </w:pPr>
      <w:r w:rsidRPr="00982D01">
        <w:rPr>
          <w:rFonts w:ascii="Times New Roman" w:eastAsia="Times New Roman" w:hAnsi="Times New Roman" w:cs="Times New Roman"/>
          <w:b/>
          <w:sz w:val="28"/>
          <w:szCs w:val="28"/>
          <w:lang w:val="en-US" w:eastAsia="ru-RU"/>
        </w:rPr>
        <w:t xml:space="preserve">Nadezhda V. </w:t>
      </w:r>
      <w:proofErr w:type="spellStart"/>
      <w:r w:rsidRPr="00982D01">
        <w:rPr>
          <w:rFonts w:ascii="Times New Roman" w:eastAsia="Times New Roman" w:hAnsi="Times New Roman" w:cs="Times New Roman"/>
          <w:b/>
          <w:sz w:val="28"/>
          <w:szCs w:val="28"/>
          <w:lang w:val="en-US" w:eastAsia="ru-RU"/>
        </w:rPr>
        <w:t>Miroshnichenko</w:t>
      </w:r>
      <w:proofErr w:type="spellEnd"/>
    </w:p>
    <w:p w14:paraId="5E2F0F1B" w14:textId="77777777" w:rsidR="00853BFE" w:rsidRPr="00982D01" w:rsidRDefault="00853BFE" w:rsidP="00853BFE">
      <w:pPr>
        <w:spacing w:after="0" w:line="360" w:lineRule="auto"/>
        <w:ind w:firstLine="709"/>
        <w:jc w:val="right"/>
        <w:rPr>
          <w:rFonts w:ascii="Times New Roman" w:eastAsia="Times New Roman" w:hAnsi="Times New Roman" w:cs="Times New Roman"/>
          <w:b/>
          <w:sz w:val="28"/>
          <w:szCs w:val="28"/>
          <w:lang w:val="en-US" w:eastAsia="ru-RU"/>
        </w:rPr>
      </w:pPr>
      <w:r w:rsidRPr="00982D01">
        <w:rPr>
          <w:rFonts w:ascii="Times New Roman" w:eastAsia="Times New Roman" w:hAnsi="Times New Roman" w:cs="Times New Roman"/>
          <w:b/>
          <w:sz w:val="28"/>
          <w:szCs w:val="28"/>
          <w:lang w:val="en-US" w:eastAsia="ru-RU"/>
        </w:rPr>
        <w:t>Vladimir Yu. Maksimov</w:t>
      </w:r>
    </w:p>
    <w:p w14:paraId="4E6356A0" w14:textId="77777777" w:rsidR="00853BFE" w:rsidRPr="00982D01" w:rsidRDefault="00853BFE" w:rsidP="00853BFE">
      <w:pPr>
        <w:spacing w:after="0" w:line="360" w:lineRule="auto"/>
        <w:jc w:val="center"/>
        <w:rPr>
          <w:rFonts w:ascii="Times New Roman" w:eastAsia="Times New Roman" w:hAnsi="Times New Roman" w:cs="Times New Roman"/>
          <w:b/>
          <w:sz w:val="28"/>
          <w:szCs w:val="28"/>
          <w:lang w:val="en-US" w:eastAsia="ru-RU"/>
        </w:rPr>
      </w:pPr>
      <w:r w:rsidRPr="00982D01">
        <w:rPr>
          <w:rFonts w:ascii="Times New Roman" w:eastAsia="Times New Roman" w:hAnsi="Times New Roman" w:cs="Times New Roman"/>
          <w:b/>
          <w:sz w:val="28"/>
          <w:szCs w:val="28"/>
          <w:lang w:val="en-US" w:eastAsia="ru-RU"/>
        </w:rPr>
        <w:t>ON THE OBJECT AND SUBJECT OF CRIMINAL LAW COMPARATIVE STUDIES</w:t>
      </w:r>
    </w:p>
    <w:p w14:paraId="53FF0D78" w14:textId="77777777" w:rsidR="00853BFE" w:rsidRPr="00982D01" w:rsidRDefault="00853BFE" w:rsidP="00853BFE">
      <w:pPr>
        <w:spacing w:after="0" w:line="360" w:lineRule="auto"/>
        <w:ind w:firstLine="709"/>
        <w:jc w:val="both"/>
        <w:rPr>
          <w:rFonts w:ascii="Times New Roman" w:eastAsia="Times New Roman" w:hAnsi="Times New Roman" w:cs="Times New Roman"/>
          <w:sz w:val="28"/>
          <w:szCs w:val="28"/>
          <w:lang w:val="en-US" w:eastAsia="ru-RU"/>
        </w:rPr>
      </w:pPr>
      <w:r w:rsidRPr="00982D01">
        <w:rPr>
          <w:rFonts w:ascii="Times New Roman" w:eastAsia="Times New Roman" w:hAnsi="Times New Roman" w:cs="Times New Roman"/>
          <w:sz w:val="28"/>
          <w:szCs w:val="28"/>
          <w:lang w:val="en-US" w:eastAsia="ru-RU"/>
        </w:rPr>
        <w:t>The doctrine of comparative law, practically revived in the new Russia, is one of the most dynamically developing and promising areas of the domestic legal science of our time. Due to its traditional branch division, its criminal-legal part is no exception, the authors of the article offer their own view of the object and subject of which. The work consists of several parts that logically consistently lead the reader to an understanding of the volume, complexity and consistency of the subject of comparative criminal law. Having determined at the very beginning of the article with the understanding of the object of legal comparative studies (which is defined as a set of legal systems of individual countries), the authors, first of all, designate a number of parameters of the doctrinal complexity of this object: terminological, methodological, historical, legal and technical, etc. So, the term "legal system" itself can currently be interpreted in at least three main meanings, and the temporal factor makes it also difficult to fix. As an example, the second part of the article provides brief characteristics of the three leading legal families of our time and four representing the first two – Anglo-American and Romano-German – legal families (in the author's understanding of this term).</w:t>
      </w:r>
      <w:r w:rsidRPr="00982D01">
        <w:rPr>
          <w:rFonts w:ascii="Calibri" w:eastAsia="Times New Roman" w:hAnsi="Calibri" w:cs="Times New Roman"/>
          <w:lang w:val="en-US" w:eastAsia="ru-RU"/>
        </w:rPr>
        <w:t xml:space="preserve"> </w:t>
      </w:r>
      <w:r w:rsidRPr="00982D01">
        <w:rPr>
          <w:rFonts w:ascii="Times New Roman" w:eastAsia="Times New Roman" w:hAnsi="Times New Roman" w:cs="Times New Roman"/>
          <w:sz w:val="28"/>
          <w:szCs w:val="28"/>
          <w:lang w:val="en-US" w:eastAsia="ru-RU"/>
        </w:rPr>
        <w:t>Special attention is paid to the historical (</w:t>
      </w:r>
      <w:proofErr w:type="gramStart"/>
      <w:r w:rsidRPr="00982D01">
        <w:rPr>
          <w:rFonts w:ascii="Times New Roman" w:eastAsia="Times New Roman" w:hAnsi="Times New Roman" w:cs="Times New Roman"/>
          <w:sz w:val="28"/>
          <w:szCs w:val="28"/>
          <w:lang w:val="en-US" w:eastAsia="ru-RU"/>
        </w:rPr>
        <w:t>i.e.</w:t>
      </w:r>
      <w:proofErr w:type="gramEnd"/>
      <w:r w:rsidRPr="00982D01">
        <w:rPr>
          <w:rFonts w:ascii="Times New Roman" w:eastAsia="Times New Roman" w:hAnsi="Times New Roman" w:cs="Times New Roman"/>
          <w:sz w:val="28"/>
          <w:szCs w:val="28"/>
          <w:lang w:val="en-US" w:eastAsia="ru-RU"/>
        </w:rPr>
        <w:t xml:space="preserve"> objective) conditionality of the deep originality and complex "multilayering" of individual national legal systems of countries, even belonging to a single family of the modern legal world. The research conducted in this way allows the authors in </w:t>
      </w:r>
      <w:r w:rsidRPr="00982D01">
        <w:rPr>
          <w:rFonts w:ascii="Times New Roman" w:eastAsia="Times New Roman" w:hAnsi="Times New Roman" w:cs="Times New Roman"/>
          <w:sz w:val="28"/>
          <w:szCs w:val="28"/>
          <w:lang w:val="en-US" w:eastAsia="ru-RU"/>
        </w:rPr>
        <w:lastRenderedPageBreak/>
        <w:t>the third, summarizing part of the article to formulate not just the subject of criminal law comparative studies, as they declared in the very title of the work, but its most relevant part, which, in their opinion, is expressed by three levels of problems arising in the process of studying the criminal law components of the legal systems of individual countries and their comparison with the subsystem of criminal law of the domestic legal system.</w:t>
      </w:r>
    </w:p>
    <w:p w14:paraId="7AB48A29" w14:textId="77777777" w:rsidR="00853BFE" w:rsidRPr="00982D01" w:rsidRDefault="00853BFE" w:rsidP="00853BFE">
      <w:pPr>
        <w:spacing w:after="0" w:line="360" w:lineRule="auto"/>
        <w:ind w:firstLine="709"/>
        <w:jc w:val="both"/>
        <w:rPr>
          <w:rFonts w:ascii="Times New Roman" w:eastAsia="Times New Roman" w:hAnsi="Times New Roman" w:cs="Times New Roman"/>
          <w:bCs/>
          <w:sz w:val="28"/>
          <w:szCs w:val="28"/>
          <w:lang w:val="en-US" w:eastAsia="ru-RU"/>
        </w:rPr>
      </w:pPr>
      <w:r w:rsidRPr="00982D01">
        <w:rPr>
          <w:rFonts w:ascii="Times New Roman" w:eastAsia="Times New Roman" w:hAnsi="Times New Roman" w:cs="Times New Roman"/>
          <w:b/>
          <w:sz w:val="28"/>
          <w:szCs w:val="28"/>
          <w:lang w:val="en-US" w:eastAsia="ru-RU"/>
        </w:rPr>
        <w:t xml:space="preserve">Key word: </w:t>
      </w:r>
      <w:r w:rsidRPr="00982D01">
        <w:rPr>
          <w:rFonts w:ascii="Times New Roman" w:eastAsia="Times New Roman" w:hAnsi="Times New Roman" w:cs="Times New Roman"/>
          <w:bCs/>
          <w:sz w:val="28"/>
          <w:szCs w:val="28"/>
          <w:lang w:val="en-US" w:eastAsia="ru-RU"/>
        </w:rPr>
        <w:t>object and subject of science, comparative jurisprudence, criminal law comparative studies, legal family, legal system, legal system, legislation.</w:t>
      </w:r>
    </w:p>
    <w:p w14:paraId="6391A100" w14:textId="77777777" w:rsidR="00853BFE" w:rsidRDefault="00853BFE" w:rsidP="00853BFE">
      <w:pPr>
        <w:spacing w:after="0" w:line="360" w:lineRule="auto"/>
        <w:rPr>
          <w:rFonts w:ascii="Times New Roman" w:hAnsi="Times New Roman" w:cs="Times New Roman"/>
          <w:b/>
          <w:bCs/>
          <w:sz w:val="28"/>
          <w:szCs w:val="28"/>
        </w:rPr>
      </w:pPr>
      <w:r w:rsidRPr="00982D01">
        <w:rPr>
          <w:rFonts w:ascii="Times New Roman" w:hAnsi="Times New Roman" w:cs="Times New Roman"/>
          <w:b/>
          <w:bCs/>
          <w:sz w:val="28"/>
          <w:szCs w:val="28"/>
        </w:rPr>
        <w:t>УДК 343.535.1</w:t>
      </w:r>
    </w:p>
    <w:p w14:paraId="64DA7628" w14:textId="77777777" w:rsidR="00853BFE" w:rsidRPr="00982D01" w:rsidRDefault="00853BFE" w:rsidP="00853BFE">
      <w:pPr>
        <w:spacing w:after="0" w:line="360" w:lineRule="auto"/>
        <w:jc w:val="right"/>
        <w:rPr>
          <w:rFonts w:ascii="Times New Roman" w:hAnsi="Times New Roman" w:cs="Times New Roman"/>
          <w:b/>
          <w:bCs/>
          <w:sz w:val="28"/>
          <w:szCs w:val="28"/>
        </w:rPr>
      </w:pPr>
      <w:r w:rsidRPr="00492073">
        <w:rPr>
          <w:rFonts w:ascii="Times New Roman" w:hAnsi="Times New Roman" w:cs="Times New Roman"/>
          <w:b/>
          <w:bCs/>
          <w:sz w:val="28"/>
          <w:szCs w:val="28"/>
        </w:rPr>
        <w:t>http://doi.org/10.37493/2409-1030.2022.2.17</w:t>
      </w:r>
    </w:p>
    <w:p w14:paraId="2BF3D1B8" w14:textId="77777777" w:rsidR="00853BFE" w:rsidRPr="00982D01" w:rsidRDefault="00853BFE" w:rsidP="00853BFE">
      <w:pPr>
        <w:spacing w:after="0" w:line="360" w:lineRule="auto"/>
        <w:jc w:val="right"/>
        <w:rPr>
          <w:rFonts w:ascii="Times New Roman" w:hAnsi="Times New Roman" w:cs="Times New Roman"/>
          <w:b/>
          <w:sz w:val="28"/>
          <w:szCs w:val="28"/>
        </w:rPr>
      </w:pPr>
      <w:r w:rsidRPr="00982D01">
        <w:rPr>
          <w:rFonts w:ascii="Times New Roman" w:hAnsi="Times New Roman" w:cs="Times New Roman"/>
          <w:b/>
          <w:sz w:val="28"/>
          <w:szCs w:val="28"/>
        </w:rPr>
        <w:t>Н.В. Петров</w:t>
      </w:r>
    </w:p>
    <w:p w14:paraId="43C15CFB" w14:textId="77777777" w:rsidR="00853BFE" w:rsidRPr="00982D01" w:rsidRDefault="00853BFE" w:rsidP="00853BFE">
      <w:pPr>
        <w:spacing w:after="0" w:line="360" w:lineRule="auto"/>
        <w:jc w:val="right"/>
        <w:rPr>
          <w:rFonts w:ascii="Times New Roman" w:hAnsi="Times New Roman" w:cs="Times New Roman"/>
          <w:b/>
          <w:sz w:val="28"/>
          <w:szCs w:val="28"/>
        </w:rPr>
      </w:pPr>
      <w:r w:rsidRPr="00982D01">
        <w:rPr>
          <w:rFonts w:ascii="Times New Roman" w:hAnsi="Times New Roman" w:cs="Times New Roman"/>
          <w:b/>
          <w:sz w:val="28"/>
          <w:szCs w:val="28"/>
        </w:rPr>
        <w:t>А.Д. Польшина</w:t>
      </w:r>
    </w:p>
    <w:p w14:paraId="6C18DA8E" w14:textId="77777777" w:rsidR="00853BFE" w:rsidRPr="00982D01" w:rsidRDefault="00853BFE" w:rsidP="00853BFE">
      <w:pPr>
        <w:spacing w:after="0" w:line="360" w:lineRule="auto"/>
        <w:jc w:val="center"/>
        <w:rPr>
          <w:rFonts w:ascii="Times New Roman" w:hAnsi="Times New Roman" w:cs="Times New Roman"/>
          <w:b/>
          <w:sz w:val="28"/>
          <w:szCs w:val="28"/>
        </w:rPr>
      </w:pPr>
      <w:r w:rsidRPr="00982D01">
        <w:rPr>
          <w:rFonts w:ascii="Times New Roman" w:hAnsi="Times New Roman" w:cs="Times New Roman"/>
          <w:b/>
          <w:sz w:val="28"/>
          <w:szCs w:val="28"/>
        </w:rPr>
        <w:t xml:space="preserve">ОБЩЕМИРОВЫЕ ТЕНДЕНЦИИ СОВЕРШЕНСТВОВАНИЯ ЗАКОНОДАТЕЛЬСТВА О БАНКРОТСТВЕ В ПЕРИОД ПАНДЕМИИ </w:t>
      </w:r>
      <w:r w:rsidRPr="00982D01">
        <w:rPr>
          <w:rFonts w:ascii="Times New Roman" w:hAnsi="Times New Roman" w:cs="Times New Roman"/>
          <w:b/>
          <w:sz w:val="28"/>
          <w:szCs w:val="28"/>
          <w:lang w:val="en-US"/>
        </w:rPr>
        <w:t>COVID</w:t>
      </w:r>
      <w:r w:rsidRPr="00982D01">
        <w:rPr>
          <w:rFonts w:ascii="Times New Roman" w:hAnsi="Times New Roman" w:cs="Times New Roman"/>
          <w:b/>
          <w:sz w:val="28"/>
          <w:szCs w:val="28"/>
        </w:rPr>
        <w:t>-19</w:t>
      </w:r>
    </w:p>
    <w:p w14:paraId="10855D78" w14:textId="77777777" w:rsidR="00853BFE" w:rsidRPr="00982D01" w:rsidRDefault="00853BFE" w:rsidP="00853BFE">
      <w:pPr>
        <w:spacing w:after="0" w:line="360" w:lineRule="auto"/>
        <w:ind w:firstLine="709"/>
        <w:jc w:val="both"/>
        <w:rPr>
          <w:rFonts w:ascii="Times New Roman" w:hAnsi="Times New Roman" w:cs="Times New Roman"/>
          <w:sz w:val="28"/>
          <w:szCs w:val="28"/>
        </w:rPr>
      </w:pPr>
      <w:r w:rsidRPr="00982D01">
        <w:rPr>
          <w:rFonts w:ascii="Times New Roman" w:hAnsi="Times New Roman" w:cs="Times New Roman"/>
          <w:sz w:val="28"/>
          <w:szCs w:val="28"/>
        </w:rPr>
        <w:t xml:space="preserve">Актуальность исследования, сформировавшихся во всем мире тенденций совершенствования законодательства о банкротстве обусловлена созданием и совершенствованием правовых механизмов, с целью более эффективного регулирования института несостоятельности (банкротства) в будущем, в частности, в условиях сложной эпидемиологической, экономической и геополитической обстановки. Пандемия COVID-19 в корне изменила мировую экономику, спровоцировала глобальную рецессию, в связи с чем юридические лица, являясь основными субъектами экономической деятельности в последние годы несут существенные убытки, поэтому в настоящей статье исследуются меры, предпринятые различными странами в рамках института банкротства с целью стабилизации экономической ситуации. Авторы отмечают, что пандемия стала катализатором масштабных изменений законодательства о несостоятельности (банкротстве). Акцентируется внимание на причинах массового увеличения количества банкротств юридических лиц в период с 2019 по 2021 гг., произведен </w:t>
      </w:r>
      <w:r w:rsidRPr="00982D01">
        <w:rPr>
          <w:rFonts w:ascii="Times New Roman" w:hAnsi="Times New Roman" w:cs="Times New Roman"/>
          <w:sz w:val="28"/>
          <w:szCs w:val="28"/>
        </w:rPr>
        <w:lastRenderedPageBreak/>
        <w:t xml:space="preserve">масштабный анализ статистических данных в данной области. В ходе научного исследования было установлено, что в большинстве стран, изменения законодательства о несостоятельности (банкротстве) идентичны, что позволило им выявить и проанализировать основные направления трансформации законодательства о банкротстве в период пандемии COVID-19, а также определить научно-теоретические проблемы и пробелы в российском законодательстве, которые возможно разрешить с учетом опыта зарубежных стран. В том числе, авторами были исследованы возможности международно-правового регулирования трансграничного банкротства, а также банкротства группы компаний. Отдельное внимание уделено анализу правового регулирования процедур реструктуризации в некоторых странах романо-германской и англо-саксонской правовых семей. Тенденции, сформулированные авторами, позволили им определить дальнейшие перспективы совершенствования института несостоятельности (банкротства), подчеркнуть важность применения в рамках российского права опыта зарубежных стран и международных организаций. </w:t>
      </w:r>
    </w:p>
    <w:p w14:paraId="675F7D03" w14:textId="77777777" w:rsidR="00853BFE" w:rsidRPr="00982D01" w:rsidRDefault="00853BFE" w:rsidP="00853BFE">
      <w:pPr>
        <w:spacing w:after="0" w:line="360" w:lineRule="auto"/>
        <w:ind w:firstLine="709"/>
        <w:jc w:val="both"/>
        <w:rPr>
          <w:rFonts w:ascii="Times New Roman" w:hAnsi="Times New Roman" w:cs="Times New Roman"/>
          <w:sz w:val="28"/>
          <w:szCs w:val="28"/>
        </w:rPr>
      </w:pPr>
      <w:r w:rsidRPr="00982D01">
        <w:rPr>
          <w:rFonts w:ascii="Times New Roman" w:hAnsi="Times New Roman" w:cs="Times New Roman"/>
          <w:b/>
          <w:sz w:val="28"/>
          <w:szCs w:val="28"/>
        </w:rPr>
        <w:t>Ключевые слова:</w:t>
      </w:r>
      <w:r w:rsidRPr="00982D01">
        <w:rPr>
          <w:rFonts w:ascii="Times New Roman" w:hAnsi="Times New Roman" w:cs="Times New Roman"/>
          <w:sz w:val="28"/>
          <w:szCs w:val="28"/>
        </w:rPr>
        <w:t xml:space="preserve"> пандемия, несостоятельность (банкротство), реструктуризация, мораторий на банкротство, глобализация.</w:t>
      </w:r>
    </w:p>
    <w:p w14:paraId="554BD3AD" w14:textId="77777777" w:rsidR="00853BFE" w:rsidRPr="00982D01" w:rsidRDefault="00853BFE" w:rsidP="00853BFE">
      <w:pPr>
        <w:spacing w:after="0" w:line="360" w:lineRule="auto"/>
        <w:ind w:firstLine="709"/>
        <w:jc w:val="right"/>
        <w:rPr>
          <w:rFonts w:ascii="Times New Roman" w:hAnsi="Times New Roman" w:cs="Times New Roman"/>
          <w:b/>
          <w:sz w:val="28"/>
          <w:szCs w:val="28"/>
          <w:lang w:val="en-US"/>
        </w:rPr>
      </w:pPr>
      <w:r w:rsidRPr="00982D01">
        <w:rPr>
          <w:rFonts w:ascii="Times New Roman" w:hAnsi="Times New Roman" w:cs="Times New Roman"/>
          <w:b/>
          <w:sz w:val="28"/>
          <w:szCs w:val="28"/>
          <w:lang w:val="en-US"/>
        </w:rPr>
        <w:t xml:space="preserve">Nikolay V. Petrov </w:t>
      </w:r>
    </w:p>
    <w:p w14:paraId="590469CA" w14:textId="77777777" w:rsidR="00853BFE" w:rsidRPr="00982D01" w:rsidRDefault="00853BFE" w:rsidP="00853BFE">
      <w:pPr>
        <w:spacing w:after="0" w:line="360" w:lineRule="auto"/>
        <w:ind w:firstLine="709"/>
        <w:jc w:val="right"/>
        <w:rPr>
          <w:rFonts w:ascii="Times New Roman" w:hAnsi="Times New Roman" w:cs="Times New Roman"/>
          <w:b/>
          <w:sz w:val="28"/>
          <w:szCs w:val="28"/>
          <w:lang w:val="en-US"/>
        </w:rPr>
      </w:pPr>
      <w:r w:rsidRPr="00982D01">
        <w:rPr>
          <w:rFonts w:ascii="Times New Roman" w:hAnsi="Times New Roman" w:cs="Times New Roman"/>
          <w:b/>
          <w:sz w:val="28"/>
          <w:szCs w:val="28"/>
          <w:lang w:val="en-US"/>
        </w:rPr>
        <w:t xml:space="preserve">Alexandra D. </w:t>
      </w:r>
      <w:proofErr w:type="spellStart"/>
      <w:r w:rsidRPr="00982D01">
        <w:rPr>
          <w:rFonts w:ascii="Times New Roman" w:hAnsi="Times New Roman" w:cs="Times New Roman"/>
          <w:b/>
          <w:sz w:val="28"/>
          <w:szCs w:val="28"/>
          <w:lang w:val="en-US"/>
        </w:rPr>
        <w:t>Polshina</w:t>
      </w:r>
      <w:proofErr w:type="spellEnd"/>
      <w:r w:rsidRPr="00982D01">
        <w:rPr>
          <w:rFonts w:ascii="Times New Roman" w:hAnsi="Times New Roman" w:cs="Times New Roman"/>
          <w:b/>
          <w:sz w:val="28"/>
          <w:szCs w:val="28"/>
          <w:lang w:val="en-US"/>
        </w:rPr>
        <w:t xml:space="preserve"> </w:t>
      </w:r>
    </w:p>
    <w:p w14:paraId="195B5156" w14:textId="77777777" w:rsidR="00853BFE" w:rsidRPr="00982D01" w:rsidRDefault="00853BFE" w:rsidP="00853BFE">
      <w:pPr>
        <w:spacing w:after="0" w:line="360" w:lineRule="auto"/>
        <w:ind w:firstLine="709"/>
        <w:jc w:val="center"/>
        <w:rPr>
          <w:rFonts w:ascii="Times New Roman" w:hAnsi="Times New Roman" w:cs="Times New Roman"/>
          <w:b/>
          <w:sz w:val="28"/>
          <w:szCs w:val="28"/>
          <w:lang w:val="en-US"/>
        </w:rPr>
      </w:pPr>
      <w:r w:rsidRPr="00982D01">
        <w:rPr>
          <w:rFonts w:ascii="Times New Roman" w:hAnsi="Times New Roman" w:cs="Times New Roman"/>
          <w:b/>
          <w:sz w:val="28"/>
          <w:szCs w:val="28"/>
          <w:lang w:val="en-US"/>
        </w:rPr>
        <w:t>GLOBAL TRENDS IN IMPROVING BANKRUPTCY LEGISLATION DURING THE COVID-19 PANDEMIC</w:t>
      </w:r>
    </w:p>
    <w:p w14:paraId="5F4C19BF" w14:textId="77777777" w:rsidR="00853BFE" w:rsidRPr="00982D01" w:rsidRDefault="00853BFE" w:rsidP="00853BFE">
      <w:pPr>
        <w:spacing w:after="0" w:line="360" w:lineRule="auto"/>
        <w:ind w:firstLine="709"/>
        <w:jc w:val="both"/>
        <w:rPr>
          <w:rFonts w:ascii="Times New Roman" w:hAnsi="Times New Roman" w:cs="Times New Roman"/>
          <w:sz w:val="28"/>
          <w:szCs w:val="28"/>
          <w:lang w:val="en-US"/>
        </w:rPr>
      </w:pPr>
      <w:r w:rsidRPr="00982D01">
        <w:rPr>
          <w:rFonts w:ascii="Times New Roman" w:hAnsi="Times New Roman" w:cs="Times New Roman"/>
          <w:sz w:val="28"/>
          <w:szCs w:val="28"/>
          <w:lang w:val="en-US"/>
        </w:rPr>
        <w:t xml:space="preserve">The relevance of the study of trends in improving bankruptcy legislation that have formed around the world is due to the creation and improvement of legal mechanisms in order to more effectively regulate the institution of insolvency (bankruptcy) in the future, in particular, in a complex epidemiological, economic and geopolitical situation. The COVID-19 pandemic radically changed the world economy, provoked a global recession, and therefore legal entities, being the main subjects of economic activity, have suffered significant losses in recent years, therefore, this article examines the measures taken by various countries within the </w:t>
      </w:r>
      <w:r w:rsidRPr="00982D01">
        <w:rPr>
          <w:rFonts w:ascii="Times New Roman" w:hAnsi="Times New Roman" w:cs="Times New Roman"/>
          <w:sz w:val="28"/>
          <w:szCs w:val="28"/>
          <w:lang w:val="en-US"/>
        </w:rPr>
        <w:lastRenderedPageBreak/>
        <w:t>framework of the institute of bankruptcy in order to stabilize the economic situation. The authors note that the pandemic has become a catalyst for large-scale changes in the legislation on insolvency (bankruptcy). Attention is focused on the reasons for the massive increase in the number of bankruptcies of legal entities in the period from 2019 to 2021, a large-scale analysis of statistical data in this area is carried out. In the course of scientific research, it was found that in most countries, changes in the legislation on insolvency (bankruptcy) are identical, which allowed them to identify and analyze the main directions of the transformation of bankruptcy legislation during the COVID-19 pandemic, as well as to identify scientific and theoretical problems and gaps in Russian legislation that can be resolved taking into account the experience of foreign countries. In particular, the authors investigated the possibilities of international legal regulation of cross-border bankruptcy, as well as the bankruptcy of a group of companies. Special attention is paid to the analysis of the legal regulation of restructuring procedures in some countries of the Romano-Germanic and Anglo-Saxon legal families. The trends formulated by the authors allowed them to identify further prospects for improving the institution of insolvency (bankruptcy), to emphasize the importance of applying the experience of foreign countries and international organizations within the framework of Russian law.</w:t>
      </w:r>
    </w:p>
    <w:p w14:paraId="0584957F" w14:textId="77777777" w:rsidR="00853BFE" w:rsidRPr="00982D01" w:rsidRDefault="00853BFE" w:rsidP="00853BFE">
      <w:pPr>
        <w:spacing w:after="0" w:line="360" w:lineRule="auto"/>
        <w:ind w:firstLine="709"/>
        <w:jc w:val="both"/>
        <w:rPr>
          <w:rFonts w:ascii="Times New Roman" w:hAnsi="Times New Roman" w:cs="Times New Roman"/>
          <w:sz w:val="28"/>
          <w:szCs w:val="28"/>
          <w:lang w:val="en-US"/>
        </w:rPr>
      </w:pPr>
      <w:r w:rsidRPr="00982D01">
        <w:rPr>
          <w:rFonts w:ascii="Times New Roman" w:hAnsi="Times New Roman" w:cs="Times New Roman"/>
          <w:b/>
          <w:sz w:val="28"/>
          <w:szCs w:val="28"/>
          <w:lang w:val="en-US"/>
        </w:rPr>
        <w:t>Key words:</w:t>
      </w:r>
      <w:r w:rsidRPr="00982D01">
        <w:rPr>
          <w:rFonts w:ascii="Times New Roman" w:hAnsi="Times New Roman" w:cs="Times New Roman"/>
          <w:sz w:val="28"/>
          <w:szCs w:val="28"/>
          <w:lang w:val="en-US"/>
        </w:rPr>
        <w:t xml:space="preserve"> pandemic, insolvency (bankruptcy), restructuring, bankruptcy moratorium, globalization.</w:t>
      </w:r>
    </w:p>
    <w:p w14:paraId="1D56DE03" w14:textId="77777777" w:rsidR="00853BFE" w:rsidRPr="00982D01" w:rsidRDefault="00853BFE" w:rsidP="00853BFE">
      <w:pPr>
        <w:rPr>
          <w:rFonts w:ascii="Times New Roman" w:hAnsi="Times New Roman" w:cs="Times New Roman"/>
          <w:b/>
          <w:bCs/>
          <w:iCs/>
          <w:sz w:val="28"/>
          <w:szCs w:val="28"/>
        </w:rPr>
      </w:pPr>
      <w:r w:rsidRPr="00982D01">
        <w:rPr>
          <w:rFonts w:ascii="Times New Roman" w:hAnsi="Times New Roman" w:cs="Times New Roman"/>
          <w:b/>
          <w:bCs/>
          <w:iCs/>
          <w:sz w:val="28"/>
          <w:szCs w:val="28"/>
        </w:rPr>
        <w:t>УДК 342.951</w:t>
      </w:r>
    </w:p>
    <w:p w14:paraId="288FD1F6" w14:textId="77777777" w:rsidR="00853BFE" w:rsidRDefault="00853BFE" w:rsidP="00853BFE">
      <w:pPr>
        <w:jc w:val="right"/>
        <w:rPr>
          <w:rFonts w:ascii="Times New Roman" w:hAnsi="Times New Roman" w:cs="Times New Roman"/>
          <w:b/>
          <w:iCs/>
          <w:sz w:val="28"/>
          <w:szCs w:val="28"/>
        </w:rPr>
      </w:pPr>
      <w:r w:rsidRPr="001118A2">
        <w:rPr>
          <w:rFonts w:ascii="Times New Roman" w:hAnsi="Times New Roman" w:cs="Times New Roman"/>
          <w:b/>
          <w:iCs/>
          <w:sz w:val="28"/>
          <w:szCs w:val="28"/>
        </w:rPr>
        <w:t>http://doi.org/</w:t>
      </w:r>
      <w:r w:rsidRPr="00DD56B4">
        <w:t xml:space="preserve"> </w:t>
      </w:r>
      <w:r w:rsidRPr="00DD56B4">
        <w:rPr>
          <w:rFonts w:ascii="Times New Roman" w:hAnsi="Times New Roman" w:cs="Times New Roman"/>
          <w:b/>
          <w:iCs/>
          <w:sz w:val="28"/>
          <w:szCs w:val="28"/>
        </w:rPr>
        <w:t>10.37493/2409-1030.2022.2.18</w:t>
      </w:r>
    </w:p>
    <w:p w14:paraId="30769F0A" w14:textId="77777777" w:rsidR="00853BFE" w:rsidRPr="00982D01" w:rsidRDefault="00853BFE" w:rsidP="00853BFE">
      <w:pPr>
        <w:jc w:val="right"/>
      </w:pPr>
      <w:r w:rsidRPr="00982D01">
        <w:rPr>
          <w:rFonts w:ascii="Times New Roman" w:hAnsi="Times New Roman" w:cs="Times New Roman"/>
          <w:b/>
          <w:iCs/>
          <w:sz w:val="28"/>
          <w:szCs w:val="28"/>
        </w:rPr>
        <w:t xml:space="preserve">А.Ю. Соколов </w:t>
      </w:r>
    </w:p>
    <w:p w14:paraId="51BFFFD9" w14:textId="77777777" w:rsidR="00853BFE" w:rsidRPr="00982D01" w:rsidRDefault="00853BFE" w:rsidP="00853BFE">
      <w:pPr>
        <w:jc w:val="right"/>
      </w:pPr>
      <w:r w:rsidRPr="00982D01">
        <w:rPr>
          <w:rFonts w:ascii="Times New Roman" w:hAnsi="Times New Roman" w:cs="Times New Roman"/>
          <w:b/>
          <w:iCs/>
          <w:sz w:val="28"/>
          <w:szCs w:val="28"/>
        </w:rPr>
        <w:t xml:space="preserve">Н.В. Богатырева </w:t>
      </w:r>
    </w:p>
    <w:p w14:paraId="4DC71108" w14:textId="77777777" w:rsidR="00853BFE" w:rsidRDefault="00853BFE" w:rsidP="00853BFE">
      <w:pPr>
        <w:spacing w:after="0" w:line="360" w:lineRule="auto"/>
        <w:ind w:firstLine="709"/>
        <w:jc w:val="center"/>
        <w:rPr>
          <w:rFonts w:ascii="Times New Roman" w:eastAsia="Calibri" w:hAnsi="Times New Roman" w:cs="Times New Roman"/>
          <w:b/>
          <w:bCs/>
          <w:kern w:val="2"/>
          <w:sz w:val="28"/>
          <w:szCs w:val="28"/>
          <w:lang w:eastAsia="ru-RU"/>
        </w:rPr>
      </w:pPr>
      <w:r w:rsidRPr="00982D01">
        <w:rPr>
          <w:rFonts w:ascii="Times New Roman" w:eastAsia="Calibri" w:hAnsi="Times New Roman" w:cs="Times New Roman"/>
          <w:b/>
          <w:bCs/>
          <w:kern w:val="2"/>
          <w:sz w:val="28"/>
          <w:szCs w:val="28"/>
          <w:lang w:eastAsia="ru-RU"/>
        </w:rPr>
        <w:t>ОРГАНИЗАЦИЯ БЕЗОПАСНОГО ВЫРАЩИВАНИЯ РАСТЕНИЙ, ПОЛУЧЕННЫХ С ПРИМЕНЕНИЕМ ГЕНОМНЫХ ТЕХНОЛОГИЙ, В РОССИЙСКОЙ ФЕДЕРАЦИИ</w:t>
      </w:r>
      <w:r w:rsidRPr="00982D01">
        <w:rPr>
          <w:rFonts w:ascii="Times New Roman" w:eastAsia="Calibri" w:hAnsi="Times New Roman" w:cs="Times New Roman"/>
          <w:b/>
          <w:bCs/>
          <w:kern w:val="2"/>
          <w:sz w:val="28"/>
          <w:szCs w:val="28"/>
          <w:vertAlign w:val="superscript"/>
          <w:lang w:eastAsia="ru-RU"/>
        </w:rPr>
        <w:footnoteReference w:id="3"/>
      </w:r>
    </w:p>
    <w:p w14:paraId="68E53AA4" w14:textId="77777777" w:rsidR="00853BFE" w:rsidRPr="00982D01" w:rsidRDefault="00853BFE" w:rsidP="00853BFE">
      <w:pPr>
        <w:spacing w:after="0" w:line="360" w:lineRule="auto"/>
        <w:ind w:firstLine="709"/>
        <w:jc w:val="center"/>
        <w:rPr>
          <w:rFonts w:ascii="Times New Roman" w:eastAsia="Calibri" w:hAnsi="Times New Roman" w:cs="Times New Roman"/>
          <w:b/>
          <w:bCs/>
          <w:kern w:val="2"/>
          <w:sz w:val="28"/>
          <w:szCs w:val="28"/>
          <w:lang w:eastAsia="ru-RU"/>
        </w:rPr>
      </w:pPr>
    </w:p>
    <w:p w14:paraId="3D07A482" w14:textId="77777777" w:rsidR="00853BFE" w:rsidRPr="00982D01" w:rsidRDefault="00853BFE" w:rsidP="00853BFE">
      <w:pPr>
        <w:spacing w:after="0" w:line="360" w:lineRule="auto"/>
        <w:ind w:firstLine="709"/>
        <w:jc w:val="both"/>
        <w:rPr>
          <w:rFonts w:ascii="Times New Roman" w:hAnsi="Times New Roman" w:cs="Times New Roman"/>
          <w:sz w:val="28"/>
          <w:szCs w:val="28"/>
        </w:rPr>
      </w:pPr>
      <w:r w:rsidRPr="00982D01">
        <w:rPr>
          <w:rFonts w:ascii="Times New Roman" w:hAnsi="Times New Roman" w:cs="Times New Roman"/>
          <w:bCs/>
          <w:sz w:val="28"/>
          <w:szCs w:val="28"/>
        </w:rPr>
        <w:lastRenderedPageBreak/>
        <w:t xml:space="preserve">В </w:t>
      </w:r>
      <w:r w:rsidRPr="00982D01">
        <w:rPr>
          <w:rFonts w:ascii="Times New Roman" w:hAnsi="Times New Roman" w:cs="Times New Roman"/>
          <w:sz w:val="28"/>
          <w:szCs w:val="28"/>
        </w:rPr>
        <w:t>настоящей статье сформулированы предложения по организационно-правовому обеспечению реализации в России Федеральной научно-технической программы развития генетических технологий в части растениеводства. Отмечается необходимость принятия правил выращивания на территории РФ растений, полученных с применением геномных технологий, обеспечивающих возможность их безопасного совместного выращивания с традиционными сельскохозяйственными культурами. Безопасность должна обеспечиваться за счет обязательного использования буферных зон или барьеров из высокорослых растений. Конкретные требования могут устанавливаться региональными правилами для конкретного субъекта РФ на основании научно обоснованных рекомендаций с учетом климатической зоны, географических особенностей, конкретной сельскохозяйственной культуры. В качестве примера приведены возможные требования к выращиванию на территории Саратовской области кукурузы, полученной с применением геномных технологий. Контроль за соблюдением указанных региональных правил целесообразно возложить на органы государственной власти субъектов Российской Федерации, осуществляющие государственное управление в области охраны окружающей среды. В качестве других элементов организационно-правового механизма безопасного выращивания растений, полученных с применением геномных технологий, рассматриваются создание национального координационного центра по вопросам применения генетических технологий в хозяйственной деятельности, установление мер ответственности за нарушение правил выращивания. В качестве перспектив развития законодательства указывается на необходимость установления согласованных правил безопасности при выращивании растений, полученных с применением геномных технологий, в странах, входящих в ЕАЭС, должны быть максимально согласованы друг с другом.</w:t>
      </w:r>
    </w:p>
    <w:p w14:paraId="693EDD86" w14:textId="77777777" w:rsidR="00853BFE" w:rsidRDefault="00853BFE" w:rsidP="00853BFE">
      <w:pPr>
        <w:spacing w:after="0" w:line="360" w:lineRule="auto"/>
        <w:ind w:firstLine="709"/>
        <w:jc w:val="both"/>
        <w:rPr>
          <w:rFonts w:ascii="Times New Roman" w:hAnsi="Times New Roman" w:cs="Times New Roman"/>
          <w:sz w:val="28"/>
          <w:szCs w:val="28"/>
        </w:rPr>
      </w:pPr>
      <w:r w:rsidRPr="00982D01">
        <w:rPr>
          <w:rFonts w:ascii="Times New Roman" w:hAnsi="Times New Roman" w:cs="Times New Roman"/>
          <w:b/>
          <w:sz w:val="28"/>
          <w:szCs w:val="28"/>
        </w:rPr>
        <w:lastRenderedPageBreak/>
        <w:t xml:space="preserve">Ключевые слова: </w:t>
      </w:r>
      <w:r w:rsidRPr="00982D01">
        <w:rPr>
          <w:rFonts w:ascii="Times New Roman" w:hAnsi="Times New Roman" w:cs="Times New Roman"/>
          <w:sz w:val="28"/>
          <w:szCs w:val="28"/>
        </w:rPr>
        <w:t>ГМО, геномные технологии, растениеводство, административно-правовое регулирование, административная ответственность.</w:t>
      </w:r>
    </w:p>
    <w:p w14:paraId="2BC556C4" w14:textId="77777777" w:rsidR="00853BFE" w:rsidRDefault="00853BFE" w:rsidP="00853BFE">
      <w:pPr>
        <w:spacing w:after="0" w:line="360" w:lineRule="auto"/>
        <w:ind w:firstLine="709"/>
        <w:jc w:val="both"/>
        <w:rPr>
          <w:rFonts w:ascii="Times New Roman" w:hAnsi="Times New Roman"/>
          <w:b/>
          <w:sz w:val="28"/>
          <w:szCs w:val="28"/>
        </w:rPr>
      </w:pPr>
    </w:p>
    <w:p w14:paraId="4C9E650F" w14:textId="77777777" w:rsidR="00853BFE" w:rsidRPr="00982D01" w:rsidRDefault="00853BFE" w:rsidP="00853BFE">
      <w:pPr>
        <w:spacing w:after="0" w:line="360" w:lineRule="auto"/>
        <w:ind w:firstLine="709"/>
        <w:jc w:val="right"/>
        <w:rPr>
          <w:rFonts w:ascii="Times New Roman" w:hAnsi="Times New Roman" w:cs="Times New Roman"/>
          <w:b/>
          <w:bCs/>
          <w:sz w:val="28"/>
          <w:szCs w:val="28"/>
          <w:lang w:val="en-US"/>
        </w:rPr>
      </w:pPr>
      <w:r w:rsidRPr="00982D01">
        <w:rPr>
          <w:rFonts w:ascii="Times New Roman" w:hAnsi="Times New Roman" w:cs="Times New Roman"/>
          <w:b/>
          <w:bCs/>
          <w:sz w:val="28"/>
          <w:szCs w:val="28"/>
          <w:lang w:val="en-US"/>
        </w:rPr>
        <w:t xml:space="preserve">Aleksandr Yu. Sokolov </w:t>
      </w:r>
    </w:p>
    <w:p w14:paraId="7397D1B4" w14:textId="77777777" w:rsidR="00853BFE" w:rsidRPr="00982D01" w:rsidRDefault="00853BFE" w:rsidP="00853BFE">
      <w:pPr>
        <w:spacing w:after="0" w:line="360" w:lineRule="auto"/>
        <w:ind w:firstLine="709"/>
        <w:jc w:val="right"/>
        <w:rPr>
          <w:rFonts w:ascii="Times New Roman" w:hAnsi="Times New Roman" w:cs="Times New Roman"/>
          <w:b/>
          <w:bCs/>
          <w:sz w:val="28"/>
          <w:szCs w:val="28"/>
          <w:lang w:val="en-US"/>
        </w:rPr>
      </w:pPr>
      <w:r w:rsidRPr="00982D01">
        <w:rPr>
          <w:rFonts w:ascii="Times New Roman" w:hAnsi="Times New Roman" w:cs="Times New Roman"/>
          <w:b/>
          <w:bCs/>
          <w:sz w:val="28"/>
          <w:szCs w:val="28"/>
          <w:lang w:val="en-US"/>
        </w:rPr>
        <w:t xml:space="preserve">Nataliya V. </w:t>
      </w:r>
      <w:proofErr w:type="spellStart"/>
      <w:r w:rsidRPr="00982D01">
        <w:rPr>
          <w:rFonts w:ascii="Times New Roman" w:hAnsi="Times New Roman" w:cs="Times New Roman"/>
          <w:b/>
          <w:bCs/>
          <w:sz w:val="28"/>
          <w:szCs w:val="28"/>
          <w:lang w:val="en-US"/>
        </w:rPr>
        <w:t>Bogatyreva</w:t>
      </w:r>
      <w:proofErr w:type="spellEnd"/>
      <w:r w:rsidRPr="00982D01">
        <w:rPr>
          <w:rFonts w:ascii="Times New Roman" w:hAnsi="Times New Roman" w:cs="Times New Roman"/>
          <w:b/>
          <w:bCs/>
          <w:sz w:val="28"/>
          <w:szCs w:val="28"/>
          <w:lang w:val="en-US"/>
        </w:rPr>
        <w:t xml:space="preserve"> </w:t>
      </w:r>
    </w:p>
    <w:p w14:paraId="2254DDC1" w14:textId="77777777" w:rsidR="00853BFE" w:rsidRPr="00982D01" w:rsidRDefault="00853BFE" w:rsidP="00853BFE">
      <w:pPr>
        <w:spacing w:after="0" w:line="360" w:lineRule="auto"/>
        <w:ind w:firstLine="709"/>
        <w:jc w:val="center"/>
        <w:rPr>
          <w:rFonts w:ascii="Times New Roman" w:hAnsi="Times New Roman" w:cs="Times New Roman"/>
          <w:b/>
          <w:sz w:val="28"/>
          <w:szCs w:val="28"/>
          <w:lang w:val="en-US"/>
        </w:rPr>
      </w:pPr>
      <w:r w:rsidRPr="00982D01">
        <w:rPr>
          <w:rFonts w:ascii="Times New Roman" w:hAnsi="Times New Roman" w:cs="Times New Roman"/>
          <w:b/>
          <w:sz w:val="28"/>
          <w:szCs w:val="28"/>
          <w:lang w:val="en-US"/>
        </w:rPr>
        <w:t>ORGANIZATION OF SAFE GROWING OF PLANTS PRODUCED USING GENOMIC TECHNOLOGIES IN THE RUSSIAN FEDERATION</w:t>
      </w:r>
      <w:r w:rsidRPr="00982D01">
        <w:rPr>
          <w:rFonts w:ascii="Times New Roman" w:hAnsi="Times New Roman" w:cs="Times New Roman"/>
          <w:b/>
          <w:sz w:val="28"/>
          <w:szCs w:val="28"/>
          <w:vertAlign w:val="superscript"/>
          <w:lang w:val="en-US"/>
        </w:rPr>
        <w:footnoteReference w:id="4"/>
      </w:r>
    </w:p>
    <w:p w14:paraId="2CCBF63A" w14:textId="77777777" w:rsidR="00853BFE" w:rsidRPr="00982D01" w:rsidRDefault="00853BFE" w:rsidP="00853BFE">
      <w:pPr>
        <w:spacing w:after="0" w:line="360" w:lineRule="auto"/>
        <w:ind w:firstLine="709"/>
        <w:jc w:val="both"/>
        <w:rPr>
          <w:rFonts w:ascii="Times New Roman" w:hAnsi="Times New Roman" w:cs="Times New Roman"/>
          <w:bCs/>
          <w:sz w:val="28"/>
          <w:szCs w:val="28"/>
          <w:lang w:val="en-US"/>
        </w:rPr>
      </w:pPr>
      <w:r w:rsidRPr="00982D01">
        <w:rPr>
          <w:rFonts w:ascii="Times New Roman" w:hAnsi="Times New Roman" w:cs="Times New Roman"/>
          <w:bCs/>
          <w:sz w:val="28"/>
          <w:szCs w:val="28"/>
          <w:lang w:val="en-US"/>
        </w:rPr>
        <w:t xml:space="preserve">This article is dedicated to the proposals for the organizational and legal support for the implementation in Russia of the Federal Scientific and Technical Program for the Development of Genetic Technologies in part of crop production. To achieve this goal, the rules for growing plants obtained using genomic technologies on the territory of the Russian Federation are formulated, providing the possibility of organic and biotech crops safe coexistence. Safety should be ensured through the obligatory use of buffer zones or tall plant barriers. Specific requirements may be established by regional rules for a particular subject of the Russian Federation based on scientifically recommendations, considering the climatic zone, geographical features, and a particular crop. As an example, the article provides possible requirements for growing corn obtained using genomic technologies in the Saratov region. It is expedient to assign control over compliance with these regional rules to the state authorities of the constituent entities of the Russian Federation that carry out state administration in the field of environmental protection. The creation of a national coordinating center for the use of genetic technologies in economic activity, the establishment of liability measures for violating the rules of cultivation are considered as other elements of the organizational and legal mechanism for the safe cultivation of plants obtained using genomic technologies. As prospects for the development of legislation, it is indicated that it is necessary to establish agreed safety rules for growing plants obtained using </w:t>
      </w:r>
      <w:r w:rsidRPr="00982D01">
        <w:rPr>
          <w:rFonts w:ascii="Times New Roman" w:hAnsi="Times New Roman" w:cs="Times New Roman"/>
          <w:bCs/>
          <w:sz w:val="28"/>
          <w:szCs w:val="28"/>
          <w:lang w:val="en-US"/>
        </w:rPr>
        <w:lastRenderedPageBreak/>
        <w:t>genomic technologies in the countries that are members of the EEU, which should be maximally consistent with each other.</w:t>
      </w:r>
    </w:p>
    <w:p w14:paraId="27B1E2FE" w14:textId="77777777" w:rsidR="00853BFE" w:rsidRPr="00982D01" w:rsidRDefault="00853BFE" w:rsidP="00853BFE">
      <w:pPr>
        <w:spacing w:after="0" w:line="360" w:lineRule="auto"/>
        <w:ind w:firstLine="709"/>
        <w:rPr>
          <w:rFonts w:ascii="Times New Roman" w:hAnsi="Times New Roman" w:cs="Times New Roman"/>
          <w:sz w:val="28"/>
          <w:szCs w:val="28"/>
          <w:lang w:val="en-US"/>
        </w:rPr>
      </w:pPr>
      <w:r w:rsidRPr="00982D01">
        <w:rPr>
          <w:rFonts w:ascii="Times New Roman" w:hAnsi="Times New Roman" w:cs="Times New Roman"/>
          <w:b/>
          <w:sz w:val="28"/>
          <w:szCs w:val="28"/>
          <w:lang w:val="en-US"/>
        </w:rPr>
        <w:t xml:space="preserve">Key words: </w:t>
      </w:r>
      <w:r w:rsidRPr="00982D01">
        <w:rPr>
          <w:rFonts w:ascii="Times New Roman" w:hAnsi="Times New Roman" w:cs="Times New Roman"/>
          <w:sz w:val="28"/>
          <w:szCs w:val="28"/>
          <w:lang w:val="en-US"/>
        </w:rPr>
        <w:t>GMOs, genomic technologies, crop production, administrative legal regulation, administrative responsibility.</w:t>
      </w:r>
    </w:p>
    <w:p w14:paraId="66437F27" w14:textId="77777777" w:rsidR="00853BFE" w:rsidRPr="00982D01" w:rsidRDefault="00853BFE" w:rsidP="00853BFE">
      <w:pPr>
        <w:tabs>
          <w:tab w:val="left" w:pos="284"/>
        </w:tabs>
        <w:spacing w:after="0" w:line="360" w:lineRule="auto"/>
        <w:ind w:left="142" w:right="283"/>
        <w:jc w:val="center"/>
        <w:rPr>
          <w:rFonts w:ascii="Times New Roman" w:hAnsi="Times New Roman" w:cs="Times New Roman"/>
          <w:b/>
          <w:sz w:val="28"/>
          <w:szCs w:val="28"/>
          <w:lang w:val="en-US"/>
        </w:rPr>
      </w:pPr>
      <w:r w:rsidRPr="00982D01">
        <w:rPr>
          <w:rFonts w:ascii="Times New Roman" w:hAnsi="Times New Roman" w:cs="Times New Roman"/>
          <w:b/>
          <w:sz w:val="28"/>
          <w:szCs w:val="28"/>
        </w:rPr>
        <w:t>ФИЛОЛОГИЧЕСКИЕ</w:t>
      </w:r>
      <w:r w:rsidRPr="00982D01">
        <w:rPr>
          <w:rFonts w:ascii="Times New Roman" w:hAnsi="Times New Roman" w:cs="Times New Roman"/>
          <w:b/>
          <w:sz w:val="28"/>
          <w:szCs w:val="28"/>
          <w:lang w:val="en-US"/>
        </w:rPr>
        <w:t xml:space="preserve"> </w:t>
      </w:r>
      <w:r w:rsidRPr="00982D01">
        <w:rPr>
          <w:rFonts w:ascii="Times New Roman" w:hAnsi="Times New Roman" w:cs="Times New Roman"/>
          <w:b/>
          <w:sz w:val="28"/>
          <w:szCs w:val="28"/>
        </w:rPr>
        <w:t>НАУКИ</w:t>
      </w:r>
      <w:r w:rsidRPr="00982D01">
        <w:rPr>
          <w:rFonts w:ascii="Times New Roman" w:hAnsi="Times New Roman" w:cs="Times New Roman"/>
          <w:b/>
          <w:sz w:val="28"/>
          <w:szCs w:val="28"/>
          <w:lang w:val="en-US"/>
        </w:rPr>
        <w:t xml:space="preserve"> / PHILOLOGICAL SCIENCES</w:t>
      </w:r>
    </w:p>
    <w:p w14:paraId="4671FB5F" w14:textId="77777777" w:rsidR="00853BFE" w:rsidRDefault="00853BFE" w:rsidP="00853BFE">
      <w:pPr>
        <w:tabs>
          <w:tab w:val="left" w:pos="284"/>
        </w:tabs>
        <w:spacing w:after="0" w:line="360" w:lineRule="auto"/>
        <w:ind w:left="142" w:right="283"/>
        <w:rPr>
          <w:rFonts w:ascii="Times New Roman" w:eastAsia="Times New Roman" w:hAnsi="Times New Roman" w:cs="Times New Roman"/>
          <w:b/>
          <w:bCs/>
          <w:sz w:val="28"/>
          <w:szCs w:val="28"/>
          <w:lang w:val="en-US" w:eastAsia="ru-RU"/>
        </w:rPr>
      </w:pPr>
      <w:r w:rsidRPr="00982D01">
        <w:rPr>
          <w:rFonts w:ascii="Times New Roman" w:hAnsi="Times New Roman" w:cs="Times New Roman"/>
          <w:b/>
          <w:bCs/>
          <w:sz w:val="28"/>
          <w:szCs w:val="28"/>
        </w:rPr>
        <w:t>УДК</w:t>
      </w:r>
      <w:r w:rsidRPr="00982D01">
        <w:rPr>
          <w:rFonts w:ascii="Times New Roman" w:hAnsi="Times New Roman" w:cs="Times New Roman"/>
          <w:b/>
          <w:bCs/>
          <w:sz w:val="28"/>
          <w:szCs w:val="28"/>
          <w:lang w:val="en-US"/>
        </w:rPr>
        <w:t xml:space="preserve"> </w:t>
      </w:r>
      <w:r w:rsidRPr="00982D01">
        <w:rPr>
          <w:rFonts w:ascii="Times New Roman" w:eastAsia="Times New Roman" w:hAnsi="Times New Roman" w:cs="Times New Roman"/>
          <w:b/>
          <w:bCs/>
          <w:sz w:val="28"/>
          <w:szCs w:val="28"/>
          <w:lang w:val="en-US" w:eastAsia="ru-RU"/>
        </w:rPr>
        <w:t>81'373.211</w:t>
      </w:r>
    </w:p>
    <w:p w14:paraId="1DC53D30" w14:textId="77777777" w:rsidR="00853BFE" w:rsidRPr="00E928BB" w:rsidRDefault="00853BFE" w:rsidP="00853BFE">
      <w:pPr>
        <w:spacing w:after="0" w:line="360" w:lineRule="auto"/>
        <w:ind w:firstLine="709"/>
        <w:jc w:val="right"/>
        <w:rPr>
          <w:rFonts w:ascii="Times New Roman" w:hAnsi="Times New Roman" w:cs="Times New Roman"/>
          <w:b/>
          <w:sz w:val="28"/>
          <w:szCs w:val="28"/>
        </w:rPr>
      </w:pPr>
      <w:r w:rsidRPr="00E928BB">
        <w:rPr>
          <w:rFonts w:ascii="Times New Roman" w:hAnsi="Times New Roman" w:cs="Times New Roman"/>
          <w:b/>
          <w:sz w:val="28"/>
          <w:szCs w:val="28"/>
          <w:lang w:val="en-US"/>
        </w:rPr>
        <w:t>http</w:t>
      </w:r>
      <w:r w:rsidRPr="00E928BB">
        <w:rPr>
          <w:rFonts w:ascii="Times New Roman" w:hAnsi="Times New Roman" w:cs="Times New Roman"/>
          <w:b/>
          <w:sz w:val="28"/>
          <w:szCs w:val="28"/>
        </w:rPr>
        <w:t>://</w:t>
      </w:r>
      <w:proofErr w:type="spellStart"/>
      <w:r w:rsidRPr="00E928BB">
        <w:rPr>
          <w:rFonts w:ascii="Times New Roman" w:hAnsi="Times New Roman" w:cs="Times New Roman"/>
          <w:b/>
          <w:sz w:val="28"/>
          <w:szCs w:val="28"/>
          <w:lang w:val="en-US"/>
        </w:rPr>
        <w:t>doi</w:t>
      </w:r>
      <w:proofErr w:type="spellEnd"/>
      <w:r w:rsidRPr="00E928BB">
        <w:rPr>
          <w:rFonts w:ascii="Times New Roman" w:hAnsi="Times New Roman" w:cs="Times New Roman"/>
          <w:b/>
          <w:sz w:val="28"/>
          <w:szCs w:val="28"/>
        </w:rPr>
        <w:t>.</w:t>
      </w:r>
      <w:r w:rsidRPr="00E928BB">
        <w:rPr>
          <w:rFonts w:ascii="Times New Roman" w:hAnsi="Times New Roman" w:cs="Times New Roman"/>
          <w:b/>
          <w:sz w:val="28"/>
          <w:szCs w:val="28"/>
          <w:lang w:val="en-US"/>
        </w:rPr>
        <w:t>org</w:t>
      </w:r>
      <w:r w:rsidRPr="00E928BB">
        <w:rPr>
          <w:rFonts w:ascii="Times New Roman" w:hAnsi="Times New Roman" w:cs="Times New Roman"/>
          <w:b/>
          <w:sz w:val="28"/>
          <w:szCs w:val="28"/>
        </w:rPr>
        <w:t>/10.37493/2409-1030.2022.2.19</w:t>
      </w:r>
    </w:p>
    <w:p w14:paraId="32C90D77" w14:textId="77777777" w:rsidR="00853BFE" w:rsidRPr="00982D01" w:rsidRDefault="00853BFE" w:rsidP="00853BFE">
      <w:pPr>
        <w:spacing w:after="0" w:line="360" w:lineRule="auto"/>
        <w:ind w:firstLine="709"/>
        <w:jc w:val="right"/>
        <w:rPr>
          <w:rFonts w:ascii="Times New Roman" w:hAnsi="Times New Roman" w:cs="Times New Roman"/>
          <w:b/>
          <w:bCs/>
          <w:sz w:val="28"/>
          <w:szCs w:val="28"/>
        </w:rPr>
      </w:pPr>
      <w:r w:rsidRPr="00982D01">
        <w:rPr>
          <w:rFonts w:ascii="Times New Roman" w:hAnsi="Times New Roman" w:cs="Times New Roman"/>
          <w:b/>
          <w:bCs/>
          <w:sz w:val="28"/>
          <w:szCs w:val="28"/>
        </w:rPr>
        <w:t>И.В. Желябова</w:t>
      </w:r>
    </w:p>
    <w:p w14:paraId="66165C74" w14:textId="77777777" w:rsidR="00853BFE" w:rsidRPr="00982D01" w:rsidRDefault="00853BFE" w:rsidP="00853BFE">
      <w:pPr>
        <w:spacing w:after="0" w:line="360" w:lineRule="auto"/>
        <w:ind w:firstLine="709"/>
        <w:jc w:val="right"/>
        <w:rPr>
          <w:rFonts w:ascii="Times New Roman" w:hAnsi="Times New Roman" w:cs="Times New Roman"/>
          <w:b/>
          <w:bCs/>
          <w:sz w:val="28"/>
          <w:szCs w:val="28"/>
        </w:rPr>
      </w:pPr>
      <w:r w:rsidRPr="00982D01">
        <w:rPr>
          <w:rFonts w:ascii="Times New Roman" w:hAnsi="Times New Roman" w:cs="Times New Roman"/>
          <w:b/>
          <w:bCs/>
          <w:sz w:val="28"/>
          <w:szCs w:val="28"/>
        </w:rPr>
        <w:t xml:space="preserve">Г.О. </w:t>
      </w:r>
      <w:proofErr w:type="spellStart"/>
      <w:r w:rsidRPr="00982D01">
        <w:rPr>
          <w:rFonts w:ascii="Times New Roman" w:hAnsi="Times New Roman" w:cs="Times New Roman"/>
          <w:b/>
          <w:bCs/>
          <w:sz w:val="28"/>
          <w:szCs w:val="28"/>
        </w:rPr>
        <w:t>Илагаева</w:t>
      </w:r>
      <w:proofErr w:type="spellEnd"/>
    </w:p>
    <w:p w14:paraId="02E5C043" w14:textId="77777777" w:rsidR="00853BFE" w:rsidRPr="00982D01" w:rsidRDefault="00853BFE" w:rsidP="00853BFE">
      <w:pPr>
        <w:spacing w:after="0" w:line="360" w:lineRule="auto"/>
        <w:ind w:firstLine="709"/>
        <w:jc w:val="center"/>
        <w:rPr>
          <w:rFonts w:ascii="Times New Roman" w:hAnsi="Times New Roman" w:cs="Times New Roman"/>
          <w:b/>
          <w:bCs/>
          <w:sz w:val="28"/>
          <w:szCs w:val="28"/>
        </w:rPr>
      </w:pPr>
      <w:r w:rsidRPr="00982D01">
        <w:rPr>
          <w:rFonts w:ascii="Times New Roman" w:hAnsi="Times New Roman" w:cs="Times New Roman"/>
          <w:b/>
          <w:bCs/>
          <w:sz w:val="28"/>
          <w:szCs w:val="28"/>
        </w:rPr>
        <w:t>НОМИНАЦИИ СТАВРОПОЛЬСКИХ ПОРЕЙУРБАНОНИМОВ</w:t>
      </w:r>
    </w:p>
    <w:p w14:paraId="430D6FF4" w14:textId="77777777" w:rsidR="00853BFE" w:rsidRPr="00982D01" w:rsidRDefault="00853BFE" w:rsidP="00853BFE">
      <w:pPr>
        <w:spacing w:after="0" w:line="360" w:lineRule="auto"/>
        <w:ind w:firstLine="709"/>
        <w:jc w:val="both"/>
        <w:rPr>
          <w:rFonts w:ascii="Times New Roman" w:hAnsi="Times New Roman" w:cs="Times New Roman"/>
          <w:sz w:val="28"/>
          <w:szCs w:val="28"/>
        </w:rPr>
      </w:pPr>
      <w:r w:rsidRPr="00982D01">
        <w:rPr>
          <w:rFonts w:ascii="Times New Roman" w:hAnsi="Times New Roman" w:cs="Times New Roman"/>
          <w:sz w:val="28"/>
          <w:szCs w:val="28"/>
        </w:rPr>
        <w:t>Статья посвящена исследованию ономастического пространства города Ставрополя.</w:t>
      </w:r>
      <w:r w:rsidRPr="00982D01">
        <w:rPr>
          <w:rFonts w:ascii="Times New Roman" w:hAnsi="Times New Roman" w:cs="Times New Roman"/>
          <w:bCs/>
          <w:sz w:val="28"/>
          <w:szCs w:val="28"/>
        </w:rPr>
        <w:t xml:space="preserve"> Проанализированы</w:t>
      </w:r>
      <w:r w:rsidRPr="00982D01">
        <w:rPr>
          <w:rFonts w:ascii="Times New Roman" w:eastAsia="Calibri" w:hAnsi="Times New Roman" w:cs="Times New Roman"/>
          <w:sz w:val="28"/>
          <w:szCs w:val="28"/>
        </w:rPr>
        <w:t xml:space="preserve"> официальные и неофициальные наименования ставропольских остановок (</w:t>
      </w:r>
      <w:proofErr w:type="spellStart"/>
      <w:r w:rsidRPr="00982D01">
        <w:rPr>
          <w:rFonts w:ascii="Times New Roman" w:eastAsia="Calibri" w:hAnsi="Times New Roman" w:cs="Times New Roman"/>
          <w:sz w:val="28"/>
          <w:szCs w:val="28"/>
        </w:rPr>
        <w:t>порейурбанонимов</w:t>
      </w:r>
      <w:proofErr w:type="spellEnd"/>
      <w:r w:rsidRPr="00982D01">
        <w:rPr>
          <w:rFonts w:ascii="Times New Roman" w:eastAsia="Calibri" w:hAnsi="Times New Roman" w:cs="Times New Roman"/>
          <w:sz w:val="28"/>
          <w:szCs w:val="28"/>
        </w:rPr>
        <w:t xml:space="preserve">) в синхроническом и диахроническом аспектах, обозначены особенности существования </w:t>
      </w:r>
      <w:proofErr w:type="spellStart"/>
      <w:r w:rsidRPr="00982D01">
        <w:rPr>
          <w:rFonts w:ascii="Times New Roman" w:hAnsi="Times New Roman" w:cs="Times New Roman"/>
          <w:sz w:val="28"/>
          <w:szCs w:val="28"/>
        </w:rPr>
        <w:t>урбанонимов</w:t>
      </w:r>
      <w:proofErr w:type="spellEnd"/>
      <w:r w:rsidRPr="00982D01">
        <w:rPr>
          <w:rFonts w:ascii="Times New Roman" w:hAnsi="Times New Roman" w:cs="Times New Roman"/>
          <w:sz w:val="28"/>
          <w:szCs w:val="28"/>
        </w:rPr>
        <w:t xml:space="preserve"> в современной языковой картине мира горожан.</w:t>
      </w:r>
      <w:r w:rsidRPr="00982D01">
        <w:rPr>
          <w:rFonts w:ascii="Times New Roman" w:eastAsia="Calibri" w:hAnsi="Times New Roman" w:cs="Times New Roman"/>
          <w:sz w:val="28"/>
          <w:szCs w:val="28"/>
        </w:rPr>
        <w:t xml:space="preserve"> </w:t>
      </w:r>
      <w:proofErr w:type="spellStart"/>
      <w:r w:rsidRPr="00982D01">
        <w:rPr>
          <w:rFonts w:ascii="Times New Roman" w:eastAsia="Times New Roman" w:hAnsi="Times New Roman" w:cs="Times New Roman"/>
          <w:sz w:val="28"/>
          <w:szCs w:val="28"/>
          <w:lang w:eastAsia="ru-RU"/>
        </w:rPr>
        <w:t>Порейурбанонимы</w:t>
      </w:r>
      <w:proofErr w:type="spellEnd"/>
      <w:r w:rsidRPr="00982D01">
        <w:rPr>
          <w:rFonts w:ascii="Times New Roman" w:eastAsia="Times New Roman" w:hAnsi="Times New Roman" w:cs="Times New Roman"/>
          <w:sz w:val="28"/>
          <w:szCs w:val="28"/>
          <w:lang w:eastAsia="ru-RU"/>
        </w:rPr>
        <w:t xml:space="preserve">, на наш взгляд, имеют большое значение в топонимической системе любого города. Они являются источником информации об организации города, его структуре (называют учебные, культурные, медицинские и торговые заведения, улицы, площади и т.д.), а гостям города помогают ориентироваться. Однако </w:t>
      </w:r>
      <w:r w:rsidRPr="00982D01">
        <w:rPr>
          <w:rFonts w:ascii="Times New Roman" w:eastAsia="Calibri" w:hAnsi="Times New Roman" w:cs="Times New Roman"/>
          <w:sz w:val="28"/>
          <w:szCs w:val="28"/>
        </w:rPr>
        <w:t xml:space="preserve">нередко в речи жителей остаются старые названия остановочных пунктов, так как они были значимыми местами для горожан и остались в памяти жителей почтенного возраста. Кроме того, существуют и жаргонизированные номинации </w:t>
      </w:r>
      <w:proofErr w:type="spellStart"/>
      <w:r w:rsidRPr="00982D01">
        <w:rPr>
          <w:rFonts w:ascii="Times New Roman" w:eastAsia="Calibri" w:hAnsi="Times New Roman" w:cs="Times New Roman"/>
          <w:sz w:val="28"/>
          <w:szCs w:val="28"/>
        </w:rPr>
        <w:t>порейурбанонимов</w:t>
      </w:r>
      <w:proofErr w:type="spellEnd"/>
      <w:r w:rsidRPr="00982D01">
        <w:rPr>
          <w:rFonts w:ascii="Times New Roman" w:eastAsia="Calibri" w:hAnsi="Times New Roman" w:cs="Times New Roman"/>
          <w:sz w:val="28"/>
          <w:szCs w:val="28"/>
        </w:rPr>
        <w:t>, которые знакомы водителям и местным жителям и приводят в замешательство гостей города.</w:t>
      </w:r>
    </w:p>
    <w:p w14:paraId="758CC486" w14:textId="77777777" w:rsidR="00853BFE" w:rsidRPr="00982D01" w:rsidRDefault="00853BFE" w:rsidP="00853BFE">
      <w:pPr>
        <w:spacing w:after="0" w:line="360" w:lineRule="auto"/>
        <w:ind w:firstLine="709"/>
        <w:jc w:val="both"/>
        <w:rPr>
          <w:rFonts w:ascii="Times New Roman" w:hAnsi="Times New Roman" w:cs="Times New Roman"/>
          <w:sz w:val="28"/>
          <w:szCs w:val="28"/>
        </w:rPr>
      </w:pPr>
      <w:r w:rsidRPr="00982D01">
        <w:rPr>
          <w:rFonts w:ascii="Times New Roman" w:hAnsi="Times New Roman" w:cs="Times New Roman"/>
          <w:sz w:val="28"/>
          <w:szCs w:val="28"/>
        </w:rPr>
        <w:t>В исследовании описаны тенденции развития и существования названий, которые зависят от социокультурной, экономической и политической ситуаций.</w:t>
      </w:r>
      <w:r w:rsidRPr="00982D01">
        <w:rPr>
          <w:rFonts w:ascii="Times New Roman" w:hAnsi="Times New Roman" w:cs="Times New Roman"/>
          <w:color w:val="000000"/>
          <w:sz w:val="28"/>
          <w:szCs w:val="28"/>
        </w:rPr>
        <w:t xml:space="preserve"> На наш взгляд, данная работа даст возможность прочувствовать силу и богатство русского языка, русского регионального языка.</w:t>
      </w:r>
    </w:p>
    <w:p w14:paraId="345C3434" w14:textId="77777777" w:rsidR="00853BFE" w:rsidRPr="00982D01" w:rsidRDefault="00853BFE" w:rsidP="00853BFE">
      <w:pPr>
        <w:spacing w:after="0" w:line="360" w:lineRule="auto"/>
        <w:ind w:firstLine="709"/>
        <w:jc w:val="both"/>
        <w:rPr>
          <w:rFonts w:ascii="Times New Roman" w:hAnsi="Times New Roman" w:cs="Times New Roman"/>
          <w:sz w:val="28"/>
          <w:szCs w:val="28"/>
        </w:rPr>
      </w:pPr>
      <w:r w:rsidRPr="00982D01">
        <w:rPr>
          <w:rFonts w:ascii="Times New Roman" w:eastAsia="Calibri" w:hAnsi="Times New Roman" w:cs="Times New Roman"/>
          <w:sz w:val="28"/>
          <w:szCs w:val="28"/>
        </w:rPr>
        <w:lastRenderedPageBreak/>
        <w:t xml:space="preserve">Делается акцент на малой степени изученности </w:t>
      </w:r>
      <w:proofErr w:type="spellStart"/>
      <w:r w:rsidRPr="00982D01">
        <w:rPr>
          <w:rFonts w:ascii="Times New Roman" w:eastAsia="Calibri" w:hAnsi="Times New Roman" w:cs="Times New Roman"/>
          <w:sz w:val="28"/>
          <w:szCs w:val="28"/>
        </w:rPr>
        <w:t>онимов</w:t>
      </w:r>
      <w:proofErr w:type="spellEnd"/>
      <w:r w:rsidRPr="00982D01">
        <w:rPr>
          <w:rFonts w:ascii="Times New Roman" w:eastAsia="Calibri" w:hAnsi="Times New Roman" w:cs="Times New Roman"/>
          <w:sz w:val="28"/>
          <w:szCs w:val="28"/>
        </w:rPr>
        <w:t xml:space="preserve"> разных видов в Ставропольском крае и на Северном Кавказе. </w:t>
      </w:r>
      <w:r w:rsidRPr="00982D01">
        <w:rPr>
          <w:rFonts w:ascii="Times New Roman" w:hAnsi="Times New Roman" w:cs="Times New Roman"/>
          <w:sz w:val="28"/>
          <w:szCs w:val="28"/>
        </w:rPr>
        <w:t xml:space="preserve">Данные исследования смогут расширить знания в области региональной ономастики, а также в области такого нового научного направления, как </w:t>
      </w:r>
      <w:proofErr w:type="spellStart"/>
      <w:r w:rsidRPr="00982D01">
        <w:rPr>
          <w:rFonts w:ascii="Times New Roman" w:hAnsi="Times New Roman" w:cs="Times New Roman"/>
          <w:sz w:val="28"/>
          <w:szCs w:val="28"/>
        </w:rPr>
        <w:t>городоведение</w:t>
      </w:r>
      <w:proofErr w:type="spellEnd"/>
      <w:r w:rsidRPr="00982D01">
        <w:rPr>
          <w:rFonts w:ascii="Times New Roman" w:hAnsi="Times New Roman" w:cs="Times New Roman"/>
          <w:sz w:val="28"/>
          <w:szCs w:val="28"/>
        </w:rPr>
        <w:t>, которое занимается изучением городских реалий и носит междисциплинарный характер, опираясь на данные истории, географии, языкознания.</w:t>
      </w:r>
    </w:p>
    <w:p w14:paraId="504B7B8B" w14:textId="77777777" w:rsidR="00853BFE" w:rsidRPr="00982D01" w:rsidRDefault="00853BFE" w:rsidP="00853BFE">
      <w:pPr>
        <w:spacing w:after="0" w:line="360" w:lineRule="auto"/>
        <w:ind w:firstLine="709"/>
        <w:jc w:val="both"/>
        <w:rPr>
          <w:rFonts w:ascii="Times New Roman" w:hAnsi="Times New Roman" w:cs="Times New Roman"/>
          <w:sz w:val="28"/>
          <w:szCs w:val="28"/>
        </w:rPr>
      </w:pPr>
      <w:proofErr w:type="spellStart"/>
      <w:r w:rsidRPr="00982D01">
        <w:rPr>
          <w:rFonts w:ascii="Times New Roman" w:hAnsi="Times New Roman" w:cs="Times New Roman"/>
          <w:sz w:val="28"/>
          <w:szCs w:val="28"/>
        </w:rPr>
        <w:t>Ономастикон</w:t>
      </w:r>
      <w:proofErr w:type="spellEnd"/>
      <w:r w:rsidRPr="00982D01">
        <w:rPr>
          <w:rFonts w:ascii="Times New Roman" w:hAnsi="Times New Roman" w:cs="Times New Roman"/>
          <w:sz w:val="28"/>
          <w:szCs w:val="28"/>
        </w:rPr>
        <w:t xml:space="preserve"> г. Ставрополя нестабилен, постоянно изменяется, появляются новые и затухают старые модели, поэтому с течением времени неофициальные наименования остановок заменяются официальными и закрепляются в речевой культуре.</w:t>
      </w:r>
    </w:p>
    <w:p w14:paraId="7ACF565D" w14:textId="77777777" w:rsidR="00853BFE" w:rsidRDefault="00853BFE" w:rsidP="00853BFE">
      <w:pPr>
        <w:spacing w:after="0" w:line="360" w:lineRule="auto"/>
        <w:ind w:firstLine="709"/>
        <w:jc w:val="both"/>
        <w:rPr>
          <w:rFonts w:ascii="Times New Roman" w:hAnsi="Times New Roman" w:cs="Times New Roman"/>
          <w:sz w:val="28"/>
          <w:szCs w:val="28"/>
        </w:rPr>
      </w:pPr>
      <w:r w:rsidRPr="00982D01">
        <w:rPr>
          <w:rFonts w:ascii="Times New Roman" w:hAnsi="Times New Roman" w:cs="Times New Roman"/>
          <w:b/>
          <w:bCs/>
          <w:sz w:val="28"/>
          <w:szCs w:val="28"/>
        </w:rPr>
        <w:t>Ключевые слова</w:t>
      </w:r>
      <w:r w:rsidRPr="00982D01">
        <w:rPr>
          <w:rFonts w:ascii="Times New Roman" w:hAnsi="Times New Roman" w:cs="Times New Roman"/>
          <w:b/>
          <w:sz w:val="28"/>
          <w:szCs w:val="28"/>
        </w:rPr>
        <w:t>:</w:t>
      </w:r>
      <w:r w:rsidRPr="00982D01">
        <w:rPr>
          <w:rFonts w:ascii="Times New Roman" w:hAnsi="Times New Roman" w:cs="Times New Roman"/>
          <w:sz w:val="28"/>
          <w:szCs w:val="28"/>
        </w:rPr>
        <w:t xml:space="preserve"> </w:t>
      </w:r>
      <w:proofErr w:type="spellStart"/>
      <w:r w:rsidRPr="00982D01">
        <w:rPr>
          <w:rFonts w:ascii="Times New Roman" w:hAnsi="Times New Roman" w:cs="Times New Roman"/>
          <w:sz w:val="28"/>
          <w:szCs w:val="28"/>
        </w:rPr>
        <w:t>ономастикон</w:t>
      </w:r>
      <w:proofErr w:type="spellEnd"/>
      <w:r w:rsidRPr="00982D01">
        <w:rPr>
          <w:rFonts w:ascii="Times New Roman" w:hAnsi="Times New Roman" w:cs="Times New Roman"/>
          <w:sz w:val="28"/>
          <w:szCs w:val="28"/>
        </w:rPr>
        <w:t xml:space="preserve">, региональная ономастика, </w:t>
      </w:r>
      <w:proofErr w:type="spellStart"/>
      <w:r w:rsidRPr="00982D01">
        <w:rPr>
          <w:rFonts w:ascii="Times New Roman" w:hAnsi="Times New Roman" w:cs="Times New Roman"/>
          <w:sz w:val="28"/>
          <w:szCs w:val="28"/>
        </w:rPr>
        <w:t>онимы</w:t>
      </w:r>
      <w:proofErr w:type="spellEnd"/>
      <w:r w:rsidRPr="00982D01">
        <w:rPr>
          <w:rFonts w:ascii="Times New Roman" w:hAnsi="Times New Roman" w:cs="Times New Roman"/>
          <w:sz w:val="28"/>
          <w:szCs w:val="28"/>
        </w:rPr>
        <w:t xml:space="preserve">, </w:t>
      </w:r>
      <w:proofErr w:type="spellStart"/>
      <w:r w:rsidRPr="00982D01">
        <w:rPr>
          <w:rFonts w:ascii="Times New Roman" w:hAnsi="Times New Roman" w:cs="Times New Roman"/>
          <w:sz w:val="28"/>
          <w:szCs w:val="28"/>
        </w:rPr>
        <w:t>урбанонимия</w:t>
      </w:r>
      <w:proofErr w:type="spellEnd"/>
      <w:r w:rsidRPr="00982D01">
        <w:rPr>
          <w:rFonts w:ascii="Times New Roman" w:hAnsi="Times New Roman" w:cs="Times New Roman"/>
          <w:sz w:val="28"/>
          <w:szCs w:val="28"/>
        </w:rPr>
        <w:t xml:space="preserve">, официальные и неофициальные </w:t>
      </w:r>
      <w:proofErr w:type="spellStart"/>
      <w:r w:rsidRPr="00982D01">
        <w:rPr>
          <w:rFonts w:ascii="Times New Roman" w:hAnsi="Times New Roman" w:cs="Times New Roman"/>
          <w:sz w:val="28"/>
          <w:szCs w:val="28"/>
        </w:rPr>
        <w:t>порейурбанонимы</w:t>
      </w:r>
      <w:proofErr w:type="spellEnd"/>
      <w:r w:rsidRPr="00982D01">
        <w:rPr>
          <w:rFonts w:ascii="Times New Roman" w:hAnsi="Times New Roman" w:cs="Times New Roman"/>
          <w:sz w:val="28"/>
          <w:szCs w:val="28"/>
        </w:rPr>
        <w:t xml:space="preserve">, синхрония и диахрония, </w:t>
      </w:r>
      <w:proofErr w:type="spellStart"/>
      <w:r w:rsidRPr="00982D01">
        <w:rPr>
          <w:rFonts w:ascii="Times New Roman" w:hAnsi="Times New Roman" w:cs="Times New Roman"/>
          <w:sz w:val="28"/>
          <w:szCs w:val="28"/>
        </w:rPr>
        <w:t>городоведение</w:t>
      </w:r>
      <w:proofErr w:type="spellEnd"/>
      <w:r w:rsidRPr="00982D01">
        <w:rPr>
          <w:rFonts w:ascii="Times New Roman" w:hAnsi="Times New Roman" w:cs="Times New Roman"/>
          <w:sz w:val="28"/>
          <w:szCs w:val="28"/>
        </w:rPr>
        <w:t>,</w:t>
      </w:r>
      <w:r w:rsidRPr="00982D01">
        <w:rPr>
          <w:rFonts w:ascii="Times New Roman" w:hAnsi="Times New Roman" w:cs="Times New Roman"/>
          <w:b/>
          <w:bCs/>
          <w:sz w:val="28"/>
          <w:szCs w:val="28"/>
        </w:rPr>
        <w:t xml:space="preserve"> </w:t>
      </w:r>
      <w:r w:rsidRPr="00982D01">
        <w:rPr>
          <w:rFonts w:ascii="Times New Roman" w:hAnsi="Times New Roman" w:cs="Times New Roman"/>
          <w:sz w:val="28"/>
          <w:szCs w:val="28"/>
        </w:rPr>
        <w:t>Ставрополь.</w:t>
      </w:r>
    </w:p>
    <w:p w14:paraId="7F3129F0" w14:textId="77777777" w:rsidR="00853BFE" w:rsidRDefault="00853BFE" w:rsidP="00853BFE">
      <w:pPr>
        <w:spacing w:after="0" w:line="360" w:lineRule="auto"/>
        <w:ind w:firstLine="709"/>
        <w:jc w:val="both"/>
        <w:rPr>
          <w:rFonts w:ascii="Times New Roman" w:hAnsi="Times New Roman" w:cs="Times New Roman"/>
          <w:sz w:val="28"/>
          <w:szCs w:val="28"/>
        </w:rPr>
      </w:pPr>
    </w:p>
    <w:p w14:paraId="1C22DBA5" w14:textId="77777777" w:rsidR="00853BFE" w:rsidRPr="002B2907" w:rsidRDefault="00853BFE" w:rsidP="00853BFE">
      <w:pPr>
        <w:suppressAutoHyphens/>
        <w:spacing w:after="0" w:line="360" w:lineRule="auto"/>
        <w:ind w:firstLine="709"/>
        <w:jc w:val="right"/>
        <w:rPr>
          <w:rFonts w:ascii="Times New Roman" w:eastAsia="Times New Roman" w:hAnsi="Times New Roman" w:cs="Times New Roman"/>
          <w:b/>
          <w:sz w:val="28"/>
          <w:szCs w:val="28"/>
          <w:lang w:val="en-US" w:eastAsia="ar-SA"/>
        </w:rPr>
      </w:pPr>
      <w:r w:rsidRPr="00982D01">
        <w:rPr>
          <w:rFonts w:ascii="Times New Roman" w:eastAsia="Times New Roman" w:hAnsi="Times New Roman" w:cs="Times New Roman"/>
          <w:b/>
          <w:sz w:val="28"/>
          <w:szCs w:val="28"/>
          <w:lang w:val="en-US" w:eastAsia="ar-SA"/>
        </w:rPr>
        <w:t>Irina</w:t>
      </w:r>
      <w:r w:rsidRPr="002B2907">
        <w:rPr>
          <w:rFonts w:ascii="Times New Roman" w:eastAsia="Times New Roman" w:hAnsi="Times New Roman" w:cs="Times New Roman"/>
          <w:b/>
          <w:sz w:val="28"/>
          <w:szCs w:val="28"/>
          <w:lang w:val="en-US" w:eastAsia="ar-SA"/>
        </w:rPr>
        <w:t xml:space="preserve"> </w:t>
      </w:r>
      <w:r w:rsidRPr="00982D01">
        <w:rPr>
          <w:rFonts w:ascii="Times New Roman" w:eastAsia="Times New Roman" w:hAnsi="Times New Roman" w:cs="Times New Roman"/>
          <w:b/>
          <w:sz w:val="28"/>
          <w:szCs w:val="28"/>
          <w:lang w:val="en-US" w:eastAsia="ar-SA"/>
        </w:rPr>
        <w:t>V</w:t>
      </w:r>
      <w:r w:rsidRPr="002B2907">
        <w:rPr>
          <w:rFonts w:ascii="Times New Roman" w:eastAsia="Times New Roman" w:hAnsi="Times New Roman" w:cs="Times New Roman"/>
          <w:b/>
          <w:sz w:val="28"/>
          <w:szCs w:val="28"/>
          <w:lang w:val="en-US" w:eastAsia="ar-SA"/>
        </w:rPr>
        <w:t xml:space="preserve">. </w:t>
      </w:r>
      <w:proofErr w:type="spellStart"/>
      <w:r w:rsidRPr="00982D01">
        <w:rPr>
          <w:rFonts w:ascii="Times New Roman" w:eastAsia="Times New Roman" w:hAnsi="Times New Roman" w:cs="Times New Roman"/>
          <w:b/>
          <w:sz w:val="28"/>
          <w:szCs w:val="28"/>
          <w:lang w:val="en-US" w:eastAsia="ar-SA"/>
        </w:rPr>
        <w:t>Zhelyabova</w:t>
      </w:r>
      <w:proofErr w:type="spellEnd"/>
    </w:p>
    <w:p w14:paraId="0050FB5F" w14:textId="77777777" w:rsidR="00853BFE" w:rsidRPr="00982D01" w:rsidRDefault="00853BFE" w:rsidP="00853BFE">
      <w:pPr>
        <w:suppressAutoHyphens/>
        <w:spacing w:after="0" w:line="360" w:lineRule="auto"/>
        <w:ind w:firstLine="709"/>
        <w:jc w:val="right"/>
        <w:rPr>
          <w:rFonts w:ascii="Times New Roman" w:eastAsia="Times New Roman" w:hAnsi="Times New Roman" w:cs="Times New Roman"/>
          <w:b/>
          <w:sz w:val="28"/>
          <w:szCs w:val="28"/>
          <w:lang w:val="en-US" w:eastAsia="ar-SA"/>
        </w:rPr>
      </w:pPr>
      <w:r w:rsidRPr="002B2907">
        <w:rPr>
          <w:rFonts w:ascii="Times New Roman" w:eastAsia="Times New Roman" w:hAnsi="Times New Roman" w:cs="Times New Roman"/>
          <w:b/>
          <w:sz w:val="28"/>
          <w:szCs w:val="28"/>
          <w:lang w:val="en-US" w:eastAsia="ar-SA"/>
        </w:rPr>
        <w:t xml:space="preserve"> </w:t>
      </w:r>
      <w:proofErr w:type="spellStart"/>
      <w:r w:rsidRPr="00982D01">
        <w:rPr>
          <w:rFonts w:ascii="Times New Roman" w:eastAsia="Times New Roman" w:hAnsi="Times New Roman" w:cs="Times New Roman"/>
          <w:b/>
          <w:sz w:val="28"/>
          <w:szCs w:val="28"/>
          <w:lang w:val="en-US" w:eastAsia="ar-SA"/>
        </w:rPr>
        <w:t>Gozel</w:t>
      </w:r>
      <w:proofErr w:type="spellEnd"/>
      <w:r w:rsidRPr="00982D01">
        <w:rPr>
          <w:rFonts w:ascii="Times New Roman" w:eastAsia="Times New Roman" w:hAnsi="Times New Roman" w:cs="Times New Roman"/>
          <w:b/>
          <w:sz w:val="28"/>
          <w:szCs w:val="28"/>
          <w:lang w:val="en-US" w:eastAsia="ar-SA"/>
        </w:rPr>
        <w:t xml:space="preserve"> O. </w:t>
      </w:r>
      <w:proofErr w:type="spellStart"/>
      <w:r w:rsidRPr="00982D01">
        <w:rPr>
          <w:rFonts w:ascii="Times New Roman" w:eastAsia="Times New Roman" w:hAnsi="Times New Roman" w:cs="Times New Roman"/>
          <w:b/>
          <w:sz w:val="28"/>
          <w:szCs w:val="28"/>
          <w:lang w:val="en-US" w:eastAsia="ar-SA"/>
        </w:rPr>
        <w:t>Ilagaeva</w:t>
      </w:r>
      <w:proofErr w:type="spellEnd"/>
    </w:p>
    <w:p w14:paraId="3DC8285B" w14:textId="77777777" w:rsidR="00853BFE" w:rsidRPr="00982D01" w:rsidRDefault="00853BFE" w:rsidP="00853BFE">
      <w:pPr>
        <w:suppressAutoHyphens/>
        <w:spacing w:after="0" w:line="360" w:lineRule="auto"/>
        <w:ind w:firstLine="709"/>
        <w:jc w:val="center"/>
        <w:rPr>
          <w:rFonts w:ascii="Times New Roman" w:eastAsia="Times New Roman" w:hAnsi="Times New Roman" w:cs="Times New Roman"/>
          <w:b/>
          <w:sz w:val="28"/>
          <w:szCs w:val="28"/>
          <w:lang w:val="en-US" w:eastAsia="ar-SA"/>
        </w:rPr>
      </w:pPr>
      <w:r w:rsidRPr="00982D01">
        <w:rPr>
          <w:rFonts w:ascii="Times New Roman" w:eastAsia="Times New Roman" w:hAnsi="Times New Roman" w:cs="Times New Roman"/>
          <w:b/>
          <w:sz w:val="28"/>
          <w:szCs w:val="28"/>
          <w:lang w:val="en-US" w:eastAsia="ar-SA"/>
        </w:rPr>
        <w:t>NOMINATIONS OF THE STAVROPOL POREYURBANONYMS</w:t>
      </w:r>
    </w:p>
    <w:p w14:paraId="42C0F16B" w14:textId="77777777" w:rsidR="00853BFE" w:rsidRPr="00982D01" w:rsidRDefault="00853BFE" w:rsidP="00853BFE">
      <w:pPr>
        <w:suppressAutoHyphens/>
        <w:spacing w:after="0" w:line="360" w:lineRule="auto"/>
        <w:ind w:firstLine="709"/>
        <w:jc w:val="both"/>
        <w:rPr>
          <w:rFonts w:ascii="Times New Roman" w:eastAsia="Times New Roman" w:hAnsi="Times New Roman" w:cs="Times New Roman"/>
          <w:sz w:val="28"/>
          <w:szCs w:val="28"/>
          <w:lang w:val="en-US" w:eastAsia="ar-SA"/>
        </w:rPr>
      </w:pPr>
      <w:r w:rsidRPr="00982D01">
        <w:rPr>
          <w:rFonts w:ascii="Times New Roman" w:eastAsia="Times New Roman" w:hAnsi="Times New Roman" w:cs="Times New Roman"/>
          <w:sz w:val="28"/>
          <w:szCs w:val="28"/>
          <w:lang w:val="en-US" w:eastAsia="ar-SA"/>
        </w:rPr>
        <w:t>The article is devoted to the study of the onomastic s</w:t>
      </w:r>
      <w:r>
        <w:rPr>
          <w:rFonts w:ascii="Times New Roman" w:eastAsia="Times New Roman" w:hAnsi="Times New Roman" w:cs="Times New Roman"/>
          <w:sz w:val="28"/>
          <w:szCs w:val="28"/>
          <w:lang w:val="en-US" w:eastAsia="ar-SA"/>
        </w:rPr>
        <w:t xml:space="preserve">pace of the city of Stavropol. </w:t>
      </w:r>
      <w:r w:rsidRPr="00982D01">
        <w:rPr>
          <w:rFonts w:ascii="Times New Roman" w:eastAsia="Times New Roman" w:hAnsi="Times New Roman" w:cs="Times New Roman"/>
          <w:sz w:val="28"/>
          <w:szCs w:val="28"/>
          <w:lang w:val="en-US" w:eastAsia="ar-SA"/>
        </w:rPr>
        <w:t xml:space="preserve">The official and unofficial names of the Stavropol </w:t>
      </w:r>
      <w:proofErr w:type="gramStart"/>
      <w:r w:rsidRPr="00982D01">
        <w:rPr>
          <w:rFonts w:ascii="Times New Roman" w:eastAsia="Times New Roman" w:hAnsi="Times New Roman" w:cs="Times New Roman"/>
          <w:sz w:val="28"/>
          <w:szCs w:val="28"/>
          <w:lang w:val="en-US" w:eastAsia="ar-SA"/>
        </w:rPr>
        <w:t>stops</w:t>
      </w:r>
      <w:proofErr w:type="gramEnd"/>
      <w:r w:rsidRPr="00982D01">
        <w:rPr>
          <w:rFonts w:ascii="Times New Roman" w:eastAsia="Times New Roman" w:hAnsi="Times New Roman" w:cs="Times New Roman"/>
          <w:sz w:val="28"/>
          <w:szCs w:val="28"/>
          <w:lang w:val="en-US" w:eastAsia="ar-SA"/>
        </w:rPr>
        <w:t xml:space="preserve"> (</w:t>
      </w:r>
      <w:proofErr w:type="spellStart"/>
      <w:r w:rsidRPr="00982D01">
        <w:rPr>
          <w:rFonts w:ascii="Times New Roman" w:eastAsia="Times New Roman" w:hAnsi="Times New Roman" w:cs="Times New Roman"/>
          <w:sz w:val="28"/>
          <w:szCs w:val="28"/>
          <w:lang w:val="en-US" w:eastAsia="ar-SA"/>
        </w:rPr>
        <w:t>poreyurbanims</w:t>
      </w:r>
      <w:proofErr w:type="spellEnd"/>
      <w:r w:rsidRPr="00982D01">
        <w:rPr>
          <w:rFonts w:ascii="Times New Roman" w:eastAsia="Times New Roman" w:hAnsi="Times New Roman" w:cs="Times New Roman"/>
          <w:sz w:val="28"/>
          <w:szCs w:val="28"/>
          <w:lang w:val="en-US" w:eastAsia="ar-SA"/>
        </w:rPr>
        <w:t xml:space="preserve">) are analyzed in synchronic and diachronic aspects, the peculiarities of the existence of </w:t>
      </w:r>
      <w:proofErr w:type="spellStart"/>
      <w:r w:rsidRPr="00982D01">
        <w:rPr>
          <w:rFonts w:ascii="Times New Roman" w:eastAsia="Times New Roman" w:hAnsi="Times New Roman" w:cs="Times New Roman"/>
          <w:sz w:val="28"/>
          <w:szCs w:val="28"/>
          <w:lang w:val="en-US" w:eastAsia="ar-SA"/>
        </w:rPr>
        <w:t>urbanonyms</w:t>
      </w:r>
      <w:proofErr w:type="spellEnd"/>
      <w:r w:rsidRPr="00982D01">
        <w:rPr>
          <w:rFonts w:ascii="Times New Roman" w:eastAsia="Times New Roman" w:hAnsi="Times New Roman" w:cs="Times New Roman"/>
          <w:sz w:val="28"/>
          <w:szCs w:val="28"/>
          <w:lang w:val="en-US" w:eastAsia="ar-SA"/>
        </w:rPr>
        <w:t xml:space="preserve"> in the modern linguistic picture of the world of townspeople are indicated.  </w:t>
      </w:r>
      <w:proofErr w:type="spellStart"/>
      <w:r w:rsidRPr="00982D01">
        <w:rPr>
          <w:rFonts w:ascii="Times New Roman" w:eastAsia="Times New Roman" w:hAnsi="Times New Roman" w:cs="Times New Roman"/>
          <w:sz w:val="28"/>
          <w:szCs w:val="28"/>
          <w:lang w:val="en-US" w:eastAsia="ar-SA"/>
        </w:rPr>
        <w:t>Poreyurbanonyms</w:t>
      </w:r>
      <w:proofErr w:type="spellEnd"/>
      <w:r w:rsidRPr="00982D01">
        <w:rPr>
          <w:rFonts w:ascii="Times New Roman" w:eastAsia="Times New Roman" w:hAnsi="Times New Roman" w:cs="Times New Roman"/>
          <w:sz w:val="28"/>
          <w:szCs w:val="28"/>
          <w:lang w:val="en-US" w:eastAsia="ar-SA"/>
        </w:rPr>
        <w:t>, in our opinion, are of great importance in the toponym</w:t>
      </w:r>
      <w:r>
        <w:rPr>
          <w:rFonts w:ascii="Times New Roman" w:eastAsia="Times New Roman" w:hAnsi="Times New Roman" w:cs="Times New Roman"/>
          <w:sz w:val="28"/>
          <w:szCs w:val="28"/>
          <w:lang w:val="en-US" w:eastAsia="ar-SA"/>
        </w:rPr>
        <w:t xml:space="preserve">ic system of any city. </w:t>
      </w:r>
      <w:r w:rsidRPr="00982D01">
        <w:rPr>
          <w:rFonts w:ascii="Times New Roman" w:eastAsia="Times New Roman" w:hAnsi="Times New Roman" w:cs="Times New Roman"/>
          <w:sz w:val="28"/>
          <w:szCs w:val="28"/>
          <w:lang w:val="en-US" w:eastAsia="ar-SA"/>
        </w:rPr>
        <w:t xml:space="preserve">They are a source of information about the organization of the city, its structure (they call educational, cultural, medical and commercial institutions, streets, squares, etc.), and they help the guests of the city find their way.  However, often in the speech of residents, the old names of stopping points remain, since they were significant places for the townspeople and remained in the memory of residents of venerable age.  In addition, there are jargonized nominations of </w:t>
      </w:r>
      <w:proofErr w:type="spellStart"/>
      <w:r w:rsidRPr="00982D01">
        <w:rPr>
          <w:rFonts w:ascii="Times New Roman" w:eastAsia="Times New Roman" w:hAnsi="Times New Roman" w:cs="Times New Roman"/>
          <w:sz w:val="28"/>
          <w:szCs w:val="28"/>
          <w:lang w:val="en-US" w:eastAsia="ar-SA"/>
        </w:rPr>
        <w:t>periurbanonyms</w:t>
      </w:r>
      <w:proofErr w:type="spellEnd"/>
      <w:r w:rsidRPr="00982D01">
        <w:rPr>
          <w:rFonts w:ascii="Times New Roman" w:eastAsia="Times New Roman" w:hAnsi="Times New Roman" w:cs="Times New Roman"/>
          <w:sz w:val="28"/>
          <w:szCs w:val="28"/>
          <w:lang w:val="en-US" w:eastAsia="ar-SA"/>
        </w:rPr>
        <w:t>, which are familiar to drivers and local residents and confuse visitors to the city.</w:t>
      </w:r>
    </w:p>
    <w:p w14:paraId="7EFA6D3C" w14:textId="77777777" w:rsidR="00853BFE" w:rsidRPr="00982D01" w:rsidRDefault="00853BFE" w:rsidP="00853BFE">
      <w:pPr>
        <w:suppressAutoHyphens/>
        <w:spacing w:after="0" w:line="360" w:lineRule="auto"/>
        <w:ind w:firstLine="709"/>
        <w:jc w:val="both"/>
        <w:rPr>
          <w:rFonts w:ascii="Times New Roman" w:eastAsia="Times New Roman" w:hAnsi="Times New Roman" w:cs="Times New Roman"/>
          <w:sz w:val="28"/>
          <w:szCs w:val="28"/>
          <w:lang w:val="en-US" w:eastAsia="ar-SA"/>
        </w:rPr>
      </w:pPr>
      <w:r w:rsidRPr="00982D01">
        <w:rPr>
          <w:rFonts w:ascii="Times New Roman" w:eastAsia="Times New Roman" w:hAnsi="Times New Roman" w:cs="Times New Roman"/>
          <w:sz w:val="28"/>
          <w:szCs w:val="28"/>
          <w:lang w:val="en-US" w:eastAsia="ar-SA"/>
        </w:rPr>
        <w:lastRenderedPageBreak/>
        <w:t>The study describes trends in the development and existence of names, which depend on socio-cultural, economic and political situations.  In our opinion, this work will provide an opportunity to feel the power and richness of the Russian language, the Russian regional language.</w:t>
      </w:r>
    </w:p>
    <w:p w14:paraId="683D8F0E" w14:textId="77777777" w:rsidR="00853BFE" w:rsidRPr="00982D01" w:rsidRDefault="00853BFE" w:rsidP="00853BFE">
      <w:pPr>
        <w:suppressAutoHyphens/>
        <w:spacing w:after="0" w:line="360" w:lineRule="auto"/>
        <w:ind w:firstLine="709"/>
        <w:jc w:val="both"/>
        <w:rPr>
          <w:rFonts w:ascii="Times New Roman" w:eastAsia="Times New Roman" w:hAnsi="Times New Roman" w:cs="Times New Roman"/>
          <w:sz w:val="28"/>
          <w:szCs w:val="28"/>
          <w:lang w:val="en-US" w:eastAsia="ar-SA"/>
        </w:rPr>
      </w:pPr>
      <w:r w:rsidRPr="00982D01">
        <w:rPr>
          <w:rFonts w:ascii="Times New Roman" w:eastAsia="Times New Roman" w:hAnsi="Times New Roman" w:cs="Times New Roman"/>
          <w:sz w:val="28"/>
          <w:szCs w:val="28"/>
          <w:lang w:val="en-US" w:eastAsia="ar-SA"/>
        </w:rPr>
        <w:t xml:space="preserve">Emphasis is placed on the low degree of knowledge of </w:t>
      </w:r>
      <w:proofErr w:type="spellStart"/>
      <w:r w:rsidRPr="00982D01">
        <w:rPr>
          <w:rFonts w:ascii="Times New Roman" w:eastAsia="Times New Roman" w:hAnsi="Times New Roman" w:cs="Times New Roman"/>
          <w:sz w:val="28"/>
          <w:szCs w:val="28"/>
          <w:lang w:val="en-US" w:eastAsia="ar-SA"/>
        </w:rPr>
        <w:t>onyms</w:t>
      </w:r>
      <w:proofErr w:type="spellEnd"/>
      <w:r w:rsidRPr="00982D01">
        <w:rPr>
          <w:rFonts w:ascii="Times New Roman" w:eastAsia="Times New Roman" w:hAnsi="Times New Roman" w:cs="Times New Roman"/>
          <w:sz w:val="28"/>
          <w:szCs w:val="28"/>
          <w:lang w:val="en-US" w:eastAsia="ar-SA"/>
        </w:rPr>
        <w:t xml:space="preserve"> of different species in the Stavropol Territory and the North Caucasus.  These studies will be able to expand knowledge in the field of regional onomastics, as well as in the field of such a new scientific direction as urban studies, which deals with the study of urban realities and is interdisciplinary in nature, based on data from history, geography, linguistics.</w:t>
      </w:r>
    </w:p>
    <w:p w14:paraId="1CA5FA75" w14:textId="77777777" w:rsidR="00853BFE" w:rsidRPr="00982D01" w:rsidRDefault="00853BFE" w:rsidP="00853BFE">
      <w:pPr>
        <w:suppressAutoHyphens/>
        <w:spacing w:after="0" w:line="360" w:lineRule="auto"/>
        <w:ind w:firstLine="709"/>
        <w:jc w:val="both"/>
        <w:rPr>
          <w:rFonts w:ascii="Times New Roman" w:eastAsia="Times New Roman" w:hAnsi="Times New Roman" w:cs="Times New Roman"/>
          <w:sz w:val="28"/>
          <w:szCs w:val="28"/>
          <w:lang w:val="en-US" w:eastAsia="ar-SA"/>
        </w:rPr>
      </w:pPr>
      <w:r w:rsidRPr="00982D01">
        <w:rPr>
          <w:rFonts w:ascii="Times New Roman" w:eastAsia="Times New Roman" w:hAnsi="Times New Roman" w:cs="Times New Roman"/>
          <w:sz w:val="28"/>
          <w:szCs w:val="28"/>
          <w:lang w:val="en-US" w:eastAsia="ar-SA"/>
        </w:rPr>
        <w:t>Onomasticon in Stavropol is unstable, constantly changing, new models appear and old models fade, therefore, over time, the unofficial names of stops are replaced by official ones and are fixed in the speech culture.</w:t>
      </w:r>
    </w:p>
    <w:p w14:paraId="26862356" w14:textId="77777777" w:rsidR="00853BFE" w:rsidRPr="00982D01" w:rsidRDefault="00853BFE" w:rsidP="00853BFE">
      <w:pPr>
        <w:suppressAutoHyphens/>
        <w:spacing w:after="0" w:line="360" w:lineRule="auto"/>
        <w:ind w:firstLine="709"/>
        <w:jc w:val="both"/>
        <w:rPr>
          <w:rFonts w:ascii="Times New Roman" w:eastAsia="Times New Roman" w:hAnsi="Times New Roman" w:cs="Times New Roman"/>
          <w:sz w:val="28"/>
          <w:szCs w:val="28"/>
          <w:lang w:val="en-US" w:eastAsia="ar-SA"/>
        </w:rPr>
      </w:pPr>
      <w:r w:rsidRPr="00982D01">
        <w:rPr>
          <w:rFonts w:ascii="Times New Roman" w:eastAsia="Times New Roman" w:hAnsi="Times New Roman" w:cs="Times New Roman"/>
          <w:b/>
          <w:sz w:val="28"/>
          <w:szCs w:val="28"/>
          <w:lang w:val="en-US" w:eastAsia="ar-SA"/>
        </w:rPr>
        <w:t>Key words:</w:t>
      </w:r>
      <w:r w:rsidRPr="00982D01">
        <w:rPr>
          <w:rFonts w:ascii="Times New Roman" w:eastAsia="Times New Roman" w:hAnsi="Times New Roman" w:cs="Times New Roman"/>
          <w:sz w:val="28"/>
          <w:szCs w:val="28"/>
          <w:lang w:val="en-US" w:eastAsia="ar-SA"/>
        </w:rPr>
        <w:t xml:space="preserve"> onomasticon, regional onomastics, </w:t>
      </w:r>
      <w:proofErr w:type="spellStart"/>
      <w:r w:rsidRPr="00982D01">
        <w:rPr>
          <w:rFonts w:ascii="Times New Roman" w:eastAsia="Times New Roman" w:hAnsi="Times New Roman" w:cs="Times New Roman"/>
          <w:sz w:val="28"/>
          <w:szCs w:val="28"/>
          <w:lang w:val="en-US" w:eastAsia="ar-SA"/>
        </w:rPr>
        <w:t>onyms</w:t>
      </w:r>
      <w:proofErr w:type="spellEnd"/>
      <w:r w:rsidRPr="00982D01">
        <w:rPr>
          <w:rFonts w:ascii="Times New Roman" w:eastAsia="Times New Roman" w:hAnsi="Times New Roman" w:cs="Times New Roman"/>
          <w:sz w:val="28"/>
          <w:szCs w:val="28"/>
          <w:lang w:val="en-US" w:eastAsia="ar-SA"/>
        </w:rPr>
        <w:t xml:space="preserve">, </w:t>
      </w:r>
      <w:proofErr w:type="spellStart"/>
      <w:r w:rsidRPr="00982D01">
        <w:rPr>
          <w:rFonts w:ascii="Times New Roman" w:eastAsia="Times New Roman" w:hAnsi="Times New Roman" w:cs="Times New Roman"/>
          <w:sz w:val="28"/>
          <w:szCs w:val="28"/>
          <w:lang w:val="en-US" w:eastAsia="ar-SA"/>
        </w:rPr>
        <w:t>urbanonymy</w:t>
      </w:r>
      <w:proofErr w:type="spellEnd"/>
      <w:r w:rsidRPr="00982D01">
        <w:rPr>
          <w:rFonts w:ascii="Times New Roman" w:eastAsia="Times New Roman" w:hAnsi="Times New Roman" w:cs="Times New Roman"/>
          <w:sz w:val="28"/>
          <w:szCs w:val="28"/>
          <w:lang w:val="en-US" w:eastAsia="ar-SA"/>
        </w:rPr>
        <w:t xml:space="preserve">, official and unofficial </w:t>
      </w:r>
      <w:proofErr w:type="spellStart"/>
      <w:r w:rsidRPr="00982D01">
        <w:rPr>
          <w:rFonts w:ascii="Times New Roman" w:eastAsia="Times New Roman" w:hAnsi="Times New Roman" w:cs="Times New Roman"/>
          <w:sz w:val="28"/>
          <w:szCs w:val="28"/>
          <w:lang w:val="en-US" w:eastAsia="ar-SA"/>
        </w:rPr>
        <w:t>poreyurbanonyms</w:t>
      </w:r>
      <w:proofErr w:type="spellEnd"/>
      <w:r w:rsidRPr="00982D01">
        <w:rPr>
          <w:rFonts w:ascii="Times New Roman" w:eastAsia="Times New Roman" w:hAnsi="Times New Roman" w:cs="Times New Roman"/>
          <w:sz w:val="28"/>
          <w:szCs w:val="28"/>
          <w:lang w:val="en-US" w:eastAsia="ar-SA"/>
        </w:rPr>
        <w:t>, synchronicity and diachrony, city studies, Stavropol.</w:t>
      </w:r>
    </w:p>
    <w:p w14:paraId="269F3337" w14:textId="77777777" w:rsidR="00853BFE" w:rsidRDefault="00853BFE" w:rsidP="00853BFE">
      <w:pPr>
        <w:rPr>
          <w:rFonts w:ascii="Times New Roman" w:hAnsi="Times New Roman" w:cs="Times New Roman"/>
          <w:b/>
          <w:bCs/>
          <w:sz w:val="28"/>
          <w:szCs w:val="28"/>
        </w:rPr>
      </w:pPr>
      <w:r w:rsidRPr="00982D01">
        <w:rPr>
          <w:rFonts w:ascii="Times New Roman" w:hAnsi="Times New Roman" w:cs="Times New Roman"/>
          <w:b/>
          <w:bCs/>
          <w:sz w:val="28"/>
          <w:szCs w:val="28"/>
        </w:rPr>
        <w:t xml:space="preserve">УДК: 81' 371 </w:t>
      </w:r>
    </w:p>
    <w:p w14:paraId="447C7BE7" w14:textId="77777777" w:rsidR="00853BFE" w:rsidRPr="00E928BB" w:rsidRDefault="00853BFE" w:rsidP="00853BFE">
      <w:pPr>
        <w:spacing w:after="0" w:line="360" w:lineRule="auto"/>
        <w:ind w:firstLine="709"/>
        <w:jc w:val="right"/>
        <w:rPr>
          <w:rFonts w:ascii="Times New Roman" w:hAnsi="Times New Roman" w:cs="Times New Roman"/>
          <w:b/>
          <w:sz w:val="28"/>
          <w:szCs w:val="28"/>
        </w:rPr>
      </w:pPr>
      <w:r w:rsidRPr="00E928BB">
        <w:rPr>
          <w:rFonts w:ascii="Times New Roman" w:hAnsi="Times New Roman" w:cs="Times New Roman"/>
          <w:b/>
          <w:sz w:val="28"/>
          <w:szCs w:val="28"/>
          <w:lang w:val="en-US"/>
        </w:rPr>
        <w:t>http</w:t>
      </w:r>
      <w:r w:rsidRPr="00E928BB">
        <w:rPr>
          <w:rFonts w:ascii="Times New Roman" w:hAnsi="Times New Roman" w:cs="Times New Roman"/>
          <w:b/>
          <w:sz w:val="28"/>
          <w:szCs w:val="28"/>
        </w:rPr>
        <w:t>://</w:t>
      </w:r>
      <w:proofErr w:type="spellStart"/>
      <w:r w:rsidRPr="00E928BB">
        <w:rPr>
          <w:rFonts w:ascii="Times New Roman" w:hAnsi="Times New Roman" w:cs="Times New Roman"/>
          <w:b/>
          <w:sz w:val="28"/>
          <w:szCs w:val="28"/>
          <w:lang w:val="en-US"/>
        </w:rPr>
        <w:t>doi</w:t>
      </w:r>
      <w:proofErr w:type="spellEnd"/>
      <w:r w:rsidRPr="00E928BB">
        <w:rPr>
          <w:rFonts w:ascii="Times New Roman" w:hAnsi="Times New Roman" w:cs="Times New Roman"/>
          <w:b/>
          <w:sz w:val="28"/>
          <w:szCs w:val="28"/>
        </w:rPr>
        <w:t>.</w:t>
      </w:r>
      <w:r w:rsidRPr="00E928BB">
        <w:rPr>
          <w:rFonts w:ascii="Times New Roman" w:hAnsi="Times New Roman" w:cs="Times New Roman"/>
          <w:b/>
          <w:sz w:val="28"/>
          <w:szCs w:val="28"/>
          <w:lang w:val="en-US"/>
        </w:rPr>
        <w:t>org</w:t>
      </w:r>
      <w:r w:rsidRPr="00E928BB">
        <w:rPr>
          <w:rFonts w:ascii="Times New Roman" w:hAnsi="Times New Roman" w:cs="Times New Roman"/>
          <w:b/>
          <w:sz w:val="28"/>
          <w:szCs w:val="28"/>
        </w:rPr>
        <w:t>/</w:t>
      </w:r>
      <w:r w:rsidRPr="002B2907">
        <w:rPr>
          <w:rFonts w:ascii="Times New Roman" w:hAnsi="Times New Roman" w:cs="Times New Roman"/>
          <w:b/>
          <w:sz w:val="28"/>
          <w:szCs w:val="28"/>
        </w:rPr>
        <w:t>10.37493/2409-1030.2022.2.20</w:t>
      </w:r>
    </w:p>
    <w:p w14:paraId="76AA2C39" w14:textId="77777777" w:rsidR="00853BFE" w:rsidRPr="00982D01" w:rsidRDefault="00853BFE" w:rsidP="00853BFE">
      <w:pPr>
        <w:spacing w:after="0" w:line="360" w:lineRule="auto"/>
        <w:jc w:val="right"/>
        <w:rPr>
          <w:rFonts w:ascii="Times New Roman" w:hAnsi="Times New Roman" w:cs="Times New Roman"/>
          <w:b/>
          <w:sz w:val="28"/>
          <w:szCs w:val="28"/>
        </w:rPr>
      </w:pPr>
      <w:r w:rsidRPr="00982D01">
        <w:rPr>
          <w:rFonts w:ascii="Times New Roman" w:hAnsi="Times New Roman" w:cs="Times New Roman"/>
          <w:b/>
          <w:sz w:val="28"/>
          <w:szCs w:val="28"/>
        </w:rPr>
        <w:t xml:space="preserve">Н.И. </w:t>
      </w:r>
      <w:proofErr w:type="spellStart"/>
      <w:r w:rsidRPr="00982D01">
        <w:rPr>
          <w:rFonts w:ascii="Times New Roman" w:hAnsi="Times New Roman" w:cs="Times New Roman"/>
          <w:b/>
          <w:sz w:val="28"/>
          <w:szCs w:val="28"/>
        </w:rPr>
        <w:t>Кизилова</w:t>
      </w:r>
      <w:proofErr w:type="spellEnd"/>
    </w:p>
    <w:p w14:paraId="796F88B4" w14:textId="77777777" w:rsidR="00853BFE" w:rsidRPr="00982D01" w:rsidRDefault="00853BFE" w:rsidP="00853BFE">
      <w:pPr>
        <w:spacing w:after="0" w:line="360" w:lineRule="auto"/>
        <w:jc w:val="right"/>
        <w:rPr>
          <w:rFonts w:ascii="Times New Roman" w:hAnsi="Times New Roman" w:cs="Times New Roman"/>
          <w:b/>
          <w:sz w:val="28"/>
          <w:szCs w:val="28"/>
        </w:rPr>
      </w:pPr>
      <w:r w:rsidRPr="00982D01">
        <w:rPr>
          <w:rFonts w:ascii="Times New Roman" w:hAnsi="Times New Roman" w:cs="Times New Roman"/>
          <w:b/>
          <w:sz w:val="28"/>
          <w:szCs w:val="28"/>
        </w:rPr>
        <w:t xml:space="preserve">Р.В. </w:t>
      </w:r>
      <w:proofErr w:type="spellStart"/>
      <w:r w:rsidRPr="00982D01">
        <w:rPr>
          <w:rFonts w:ascii="Times New Roman" w:hAnsi="Times New Roman" w:cs="Times New Roman"/>
          <w:b/>
          <w:sz w:val="28"/>
          <w:szCs w:val="28"/>
        </w:rPr>
        <w:t>Чвалун</w:t>
      </w:r>
      <w:proofErr w:type="spellEnd"/>
    </w:p>
    <w:p w14:paraId="46DC674A" w14:textId="77777777" w:rsidR="00853BFE" w:rsidRPr="00982D01" w:rsidRDefault="00853BFE" w:rsidP="00853BFE">
      <w:pPr>
        <w:spacing w:after="0" w:line="360" w:lineRule="auto"/>
        <w:jc w:val="center"/>
        <w:rPr>
          <w:rFonts w:ascii="Times New Roman" w:hAnsi="Times New Roman" w:cs="Times New Roman"/>
          <w:b/>
          <w:sz w:val="28"/>
          <w:szCs w:val="28"/>
        </w:rPr>
      </w:pPr>
      <w:r w:rsidRPr="00982D01">
        <w:rPr>
          <w:rFonts w:ascii="Times New Roman" w:hAnsi="Times New Roman" w:cs="Times New Roman"/>
          <w:b/>
          <w:sz w:val="28"/>
          <w:szCs w:val="28"/>
        </w:rPr>
        <w:t>СТРУКТУРНО-СЕМАНТИЧЕСКИЕ РАЗНОВИДНОСТИ МАКРОПРОПОЗИЦИЙ ФРЕЙМА «ВООРУЖЕННОЕ СТОЛКНОВЕНИЕ»</w:t>
      </w:r>
    </w:p>
    <w:p w14:paraId="10734C24" w14:textId="77777777" w:rsidR="00853BFE" w:rsidRPr="00982D01" w:rsidRDefault="00853BFE" w:rsidP="00853BFE">
      <w:pPr>
        <w:spacing w:after="0" w:line="360" w:lineRule="auto"/>
        <w:ind w:firstLine="709"/>
        <w:jc w:val="both"/>
        <w:rPr>
          <w:rFonts w:ascii="Times New Roman" w:eastAsia="Times New Roman" w:hAnsi="Times New Roman" w:cs="Times New Roman"/>
          <w:sz w:val="28"/>
          <w:szCs w:val="28"/>
        </w:rPr>
      </w:pPr>
      <w:r w:rsidRPr="00982D01">
        <w:rPr>
          <w:rFonts w:ascii="Times New Roman" w:hAnsi="Times New Roman" w:cs="Times New Roman"/>
          <w:sz w:val="28"/>
          <w:szCs w:val="28"/>
        </w:rPr>
        <w:t>В статье представлены</w:t>
      </w:r>
      <w:r w:rsidRPr="00982D01">
        <w:rPr>
          <w:rFonts w:ascii="Times New Roman" w:hAnsi="Times New Roman" w:cs="Times New Roman"/>
          <w:color w:val="1F282C"/>
          <w:sz w:val="28"/>
          <w:szCs w:val="28"/>
        </w:rPr>
        <w:t xml:space="preserve"> результаты изучения </w:t>
      </w:r>
      <w:proofErr w:type="spellStart"/>
      <w:r w:rsidRPr="00982D01">
        <w:rPr>
          <w:rFonts w:ascii="Times New Roman" w:hAnsi="Times New Roman" w:cs="Times New Roman"/>
          <w:color w:val="1F282C"/>
          <w:sz w:val="28"/>
          <w:szCs w:val="28"/>
        </w:rPr>
        <w:t>макропропозиций</w:t>
      </w:r>
      <w:proofErr w:type="spellEnd"/>
      <w:r w:rsidRPr="00982D01">
        <w:rPr>
          <w:rFonts w:ascii="Times New Roman" w:hAnsi="Times New Roman" w:cs="Times New Roman"/>
          <w:color w:val="1F282C"/>
          <w:sz w:val="28"/>
          <w:szCs w:val="28"/>
        </w:rPr>
        <w:t xml:space="preserve">, репрезентирующих фрейм ВООРУЖЕННОЕ СТОЛКНОВЕНИЕ в новостном и аналитическом интернет-дискурсе. Фрейм ВООРУЖЕННОЕ СТОЛКНОВЕНИЕ рассматривается как устойчивая ментальная модель события, в ходе которого две или более стороны вступают в контактное противодействие с применением оружия; вооруженное столкновение ограничено в масштабе проявления (в отличие от полномасштабной войны), а </w:t>
      </w:r>
      <w:r w:rsidRPr="00982D01">
        <w:rPr>
          <w:rFonts w:ascii="Times New Roman" w:hAnsi="Times New Roman" w:cs="Times New Roman"/>
          <w:color w:val="1F282C"/>
          <w:sz w:val="28"/>
          <w:szCs w:val="28"/>
        </w:rPr>
        <w:lastRenderedPageBreak/>
        <w:t xml:space="preserve">также территориально и </w:t>
      </w:r>
      <w:proofErr w:type="spellStart"/>
      <w:r w:rsidRPr="00982D01">
        <w:rPr>
          <w:rFonts w:ascii="Times New Roman" w:hAnsi="Times New Roman" w:cs="Times New Roman"/>
          <w:color w:val="1F282C"/>
          <w:sz w:val="28"/>
          <w:szCs w:val="28"/>
        </w:rPr>
        <w:t>темпорально</w:t>
      </w:r>
      <w:proofErr w:type="spellEnd"/>
      <w:r w:rsidRPr="00982D01">
        <w:rPr>
          <w:rFonts w:ascii="Times New Roman" w:hAnsi="Times New Roman" w:cs="Times New Roman"/>
          <w:color w:val="1F282C"/>
          <w:sz w:val="28"/>
          <w:szCs w:val="28"/>
        </w:rPr>
        <w:t xml:space="preserve">. Установлено, что при описании семантико-синтаксических структур, представляющих фрейм в тексте, фрейм следует рассматривать как когнитивную структуру, имеющую пропозициональную природу: основными единицами хранения семантических данных в нем являются пропозиции, отображающие основные действия и процессы, входящие в наши стандартные представления о типичных ситуациях в реальной, виртуальной и воображаемой действительности. В ходе исследования при изучении синтаксического устройства и содержания предложений, представляющих фрейм ВООРУЖЕННОЕ СТОЛКНОВЕНИЕ в текстах аналитических и новостных статей, было также установлено, что наиболее значимые и устойчивые различия между </w:t>
      </w:r>
      <w:proofErr w:type="spellStart"/>
      <w:r w:rsidRPr="00982D01">
        <w:rPr>
          <w:rFonts w:ascii="Times New Roman" w:hAnsi="Times New Roman" w:cs="Times New Roman"/>
          <w:color w:val="1F282C"/>
          <w:sz w:val="28"/>
          <w:szCs w:val="28"/>
        </w:rPr>
        <w:t>макропропозициями</w:t>
      </w:r>
      <w:proofErr w:type="spellEnd"/>
      <w:r w:rsidRPr="00982D01">
        <w:rPr>
          <w:rFonts w:ascii="Times New Roman" w:hAnsi="Times New Roman" w:cs="Times New Roman"/>
          <w:color w:val="1F282C"/>
          <w:sz w:val="28"/>
          <w:szCs w:val="28"/>
        </w:rPr>
        <w:t xml:space="preserve"> изучаемого фрейма определяются характером предикатов в этих структурах, что нашло отражение в классификации пропозиций. В ходе исследования были выявлены следующие структурно-семантические типы </w:t>
      </w:r>
      <w:proofErr w:type="spellStart"/>
      <w:r w:rsidRPr="00982D01">
        <w:rPr>
          <w:rFonts w:ascii="Times New Roman" w:hAnsi="Times New Roman" w:cs="Times New Roman"/>
          <w:color w:val="1F282C"/>
          <w:sz w:val="28"/>
          <w:szCs w:val="28"/>
        </w:rPr>
        <w:t>макропропозиций</w:t>
      </w:r>
      <w:proofErr w:type="spellEnd"/>
      <w:r w:rsidRPr="00982D01">
        <w:rPr>
          <w:rFonts w:ascii="Times New Roman" w:hAnsi="Times New Roman" w:cs="Times New Roman"/>
          <w:color w:val="1F282C"/>
          <w:sz w:val="28"/>
          <w:szCs w:val="28"/>
        </w:rPr>
        <w:t xml:space="preserve"> фрейма ВООРУЖЕННОЕ СТОЛКНОВЕНИЕ: </w:t>
      </w:r>
      <w:proofErr w:type="spellStart"/>
      <w:r w:rsidRPr="00982D01">
        <w:rPr>
          <w:rFonts w:ascii="Times New Roman" w:hAnsi="Times New Roman" w:cs="Times New Roman"/>
          <w:color w:val="1F282C"/>
          <w:sz w:val="28"/>
          <w:szCs w:val="28"/>
        </w:rPr>
        <w:t>м</w:t>
      </w:r>
      <w:r w:rsidRPr="00982D01">
        <w:rPr>
          <w:rFonts w:ascii="Times New Roman" w:eastAsia="Times New Roman" w:hAnsi="Times New Roman" w:cs="Times New Roman"/>
          <w:sz w:val="28"/>
          <w:szCs w:val="28"/>
        </w:rPr>
        <w:t>акропропозиции</w:t>
      </w:r>
      <w:proofErr w:type="spellEnd"/>
      <w:r w:rsidRPr="00982D01">
        <w:rPr>
          <w:rFonts w:ascii="Times New Roman" w:eastAsia="Times New Roman" w:hAnsi="Times New Roman" w:cs="Times New Roman"/>
          <w:sz w:val="28"/>
          <w:szCs w:val="28"/>
        </w:rPr>
        <w:t xml:space="preserve"> с бытийными предикатами целостного события, </w:t>
      </w:r>
      <w:proofErr w:type="spellStart"/>
      <w:r w:rsidRPr="00982D01">
        <w:rPr>
          <w:rFonts w:ascii="Times New Roman" w:eastAsia="Times New Roman" w:hAnsi="Times New Roman" w:cs="Times New Roman"/>
          <w:sz w:val="28"/>
          <w:szCs w:val="28"/>
        </w:rPr>
        <w:t>макропропозиции</w:t>
      </w:r>
      <w:proofErr w:type="spellEnd"/>
      <w:r w:rsidRPr="00982D01">
        <w:rPr>
          <w:rFonts w:ascii="Times New Roman" w:eastAsia="Times New Roman" w:hAnsi="Times New Roman" w:cs="Times New Roman"/>
          <w:sz w:val="28"/>
          <w:szCs w:val="28"/>
        </w:rPr>
        <w:t xml:space="preserve"> с предикатом с фазовым значением, </w:t>
      </w:r>
      <w:proofErr w:type="spellStart"/>
      <w:r w:rsidRPr="00982D01">
        <w:rPr>
          <w:rFonts w:ascii="Times New Roman" w:eastAsia="Times New Roman" w:hAnsi="Times New Roman" w:cs="Times New Roman"/>
          <w:sz w:val="28"/>
          <w:szCs w:val="28"/>
        </w:rPr>
        <w:t>макропропозиции</w:t>
      </w:r>
      <w:proofErr w:type="spellEnd"/>
      <w:r w:rsidRPr="00982D01">
        <w:rPr>
          <w:rFonts w:ascii="Times New Roman" w:eastAsia="Times New Roman" w:hAnsi="Times New Roman" w:cs="Times New Roman"/>
          <w:sz w:val="28"/>
          <w:szCs w:val="28"/>
        </w:rPr>
        <w:t xml:space="preserve"> с предикатом гипотетического события, </w:t>
      </w:r>
      <w:proofErr w:type="spellStart"/>
      <w:r w:rsidRPr="00982D01">
        <w:rPr>
          <w:rFonts w:ascii="Times New Roman" w:eastAsia="Times New Roman" w:hAnsi="Times New Roman" w:cs="Times New Roman"/>
          <w:sz w:val="28"/>
          <w:szCs w:val="28"/>
        </w:rPr>
        <w:t>квазимакропропозиции</w:t>
      </w:r>
      <w:proofErr w:type="spellEnd"/>
      <w:r w:rsidRPr="00982D01">
        <w:rPr>
          <w:rFonts w:ascii="Times New Roman" w:eastAsia="Times New Roman" w:hAnsi="Times New Roman" w:cs="Times New Roman"/>
          <w:sz w:val="28"/>
          <w:szCs w:val="28"/>
        </w:rPr>
        <w:t xml:space="preserve">. Исследование позволило подтвердить существующий в лингвистике тезис, что применение той или иной </w:t>
      </w:r>
      <w:proofErr w:type="spellStart"/>
      <w:r w:rsidRPr="00982D01">
        <w:rPr>
          <w:rFonts w:ascii="Times New Roman" w:eastAsia="Times New Roman" w:hAnsi="Times New Roman" w:cs="Times New Roman"/>
          <w:sz w:val="28"/>
          <w:szCs w:val="28"/>
        </w:rPr>
        <w:t>макропропозиции</w:t>
      </w:r>
      <w:proofErr w:type="spellEnd"/>
      <w:r w:rsidRPr="00982D01">
        <w:rPr>
          <w:rFonts w:ascii="Times New Roman" w:eastAsia="Times New Roman" w:hAnsi="Times New Roman" w:cs="Times New Roman"/>
          <w:sz w:val="28"/>
          <w:szCs w:val="28"/>
        </w:rPr>
        <w:t xml:space="preserve"> для актуализации в тексте фрейма ВООРУЖЕННОЕ СТОЛКНОВЕНИЕ обусловлено рядом факторов </w:t>
      </w:r>
      <w:proofErr w:type="spellStart"/>
      <w:r w:rsidRPr="00982D01">
        <w:rPr>
          <w:rFonts w:ascii="Times New Roman" w:eastAsia="Times New Roman" w:hAnsi="Times New Roman" w:cs="Times New Roman"/>
          <w:sz w:val="28"/>
          <w:szCs w:val="28"/>
        </w:rPr>
        <w:t>лингвопрагматического</w:t>
      </w:r>
      <w:proofErr w:type="spellEnd"/>
      <w:r w:rsidRPr="00982D01">
        <w:rPr>
          <w:rFonts w:ascii="Times New Roman" w:eastAsia="Times New Roman" w:hAnsi="Times New Roman" w:cs="Times New Roman"/>
          <w:sz w:val="28"/>
          <w:szCs w:val="28"/>
        </w:rPr>
        <w:t xml:space="preserve">, когнитивно-лингвистического и структурно-лингвистического характера. В частности, </w:t>
      </w:r>
      <w:proofErr w:type="spellStart"/>
      <w:r w:rsidRPr="00982D01">
        <w:rPr>
          <w:rFonts w:ascii="Times New Roman" w:eastAsia="Times New Roman" w:hAnsi="Times New Roman" w:cs="Times New Roman"/>
          <w:sz w:val="28"/>
          <w:szCs w:val="28"/>
        </w:rPr>
        <w:t>лингвопрагматические</w:t>
      </w:r>
      <w:proofErr w:type="spellEnd"/>
      <w:r w:rsidRPr="00982D01">
        <w:rPr>
          <w:rFonts w:ascii="Times New Roman" w:eastAsia="Times New Roman" w:hAnsi="Times New Roman" w:cs="Times New Roman"/>
          <w:sz w:val="28"/>
          <w:szCs w:val="28"/>
        </w:rPr>
        <w:t xml:space="preserve"> основания выступают главенствующим фактором выбора разновидности </w:t>
      </w:r>
      <w:proofErr w:type="spellStart"/>
      <w:r w:rsidRPr="00982D01">
        <w:rPr>
          <w:rFonts w:ascii="Times New Roman" w:eastAsia="Times New Roman" w:hAnsi="Times New Roman" w:cs="Times New Roman"/>
          <w:sz w:val="28"/>
          <w:szCs w:val="28"/>
        </w:rPr>
        <w:t>макропропозиции</w:t>
      </w:r>
      <w:proofErr w:type="spellEnd"/>
      <w:r w:rsidRPr="00982D01">
        <w:rPr>
          <w:rFonts w:ascii="Times New Roman" w:eastAsia="Times New Roman" w:hAnsi="Times New Roman" w:cs="Times New Roman"/>
          <w:sz w:val="28"/>
          <w:szCs w:val="28"/>
        </w:rPr>
        <w:t xml:space="preserve"> в том случае, когда автор текста имеет целью сосредоточить внимание потенциального адресата либо на самом факте ВООРУЖЕННОГО СТОЛКНОВЕНИЯ, либо на факте участия в нем определенных сторон.</w:t>
      </w:r>
    </w:p>
    <w:p w14:paraId="323CB4C8" w14:textId="77777777" w:rsidR="00853BFE" w:rsidRDefault="00853BFE" w:rsidP="00853BFE">
      <w:pPr>
        <w:spacing w:after="0" w:line="360" w:lineRule="auto"/>
        <w:ind w:firstLine="709"/>
        <w:jc w:val="both"/>
        <w:rPr>
          <w:rFonts w:ascii="Times New Roman" w:hAnsi="Times New Roman" w:cs="Times New Roman"/>
          <w:color w:val="1F282C"/>
          <w:sz w:val="28"/>
          <w:szCs w:val="28"/>
        </w:rPr>
      </w:pPr>
      <w:r w:rsidRPr="00982D01">
        <w:rPr>
          <w:rFonts w:ascii="Times New Roman" w:hAnsi="Times New Roman" w:cs="Times New Roman"/>
          <w:b/>
          <w:bCs/>
          <w:color w:val="1F282C"/>
          <w:sz w:val="28"/>
          <w:szCs w:val="28"/>
        </w:rPr>
        <w:lastRenderedPageBreak/>
        <w:t>Ключевые слова:</w:t>
      </w:r>
      <w:r w:rsidRPr="00982D01">
        <w:rPr>
          <w:rFonts w:ascii="Times New Roman" w:hAnsi="Times New Roman" w:cs="Times New Roman"/>
          <w:color w:val="1F282C"/>
          <w:sz w:val="28"/>
          <w:szCs w:val="28"/>
        </w:rPr>
        <w:t xml:space="preserve"> </w:t>
      </w:r>
      <w:proofErr w:type="spellStart"/>
      <w:r w:rsidRPr="00982D01">
        <w:rPr>
          <w:rFonts w:ascii="Times New Roman" w:hAnsi="Times New Roman" w:cs="Times New Roman"/>
          <w:color w:val="1F282C"/>
          <w:sz w:val="28"/>
          <w:szCs w:val="28"/>
        </w:rPr>
        <w:t>макропропозиция</w:t>
      </w:r>
      <w:proofErr w:type="spellEnd"/>
      <w:r w:rsidRPr="00982D01">
        <w:rPr>
          <w:rFonts w:ascii="Times New Roman" w:hAnsi="Times New Roman" w:cs="Times New Roman"/>
          <w:color w:val="1F282C"/>
          <w:sz w:val="28"/>
          <w:szCs w:val="28"/>
        </w:rPr>
        <w:t xml:space="preserve"> фрейма, семантико-синтаксические структуры, предикат, ядерная пропозиция, первый терм, семантический падеж.</w:t>
      </w:r>
    </w:p>
    <w:p w14:paraId="5DF01CDE" w14:textId="77777777" w:rsidR="00853BFE" w:rsidRPr="00982D01" w:rsidRDefault="00853BFE" w:rsidP="00853BFE">
      <w:pPr>
        <w:spacing w:after="0" w:line="360" w:lineRule="auto"/>
        <w:jc w:val="right"/>
        <w:rPr>
          <w:rFonts w:ascii="Times New Roman" w:hAnsi="Times New Roman" w:cs="Times New Roman"/>
          <w:b/>
          <w:sz w:val="28"/>
          <w:szCs w:val="28"/>
          <w:lang w:val="en-US"/>
        </w:rPr>
      </w:pPr>
      <w:r w:rsidRPr="00982D01">
        <w:rPr>
          <w:rFonts w:ascii="Times New Roman" w:hAnsi="Times New Roman" w:cs="Times New Roman"/>
          <w:b/>
          <w:sz w:val="28"/>
          <w:szCs w:val="28"/>
          <w:lang w:val="en-US"/>
        </w:rPr>
        <w:t xml:space="preserve">Natalia I. </w:t>
      </w:r>
      <w:proofErr w:type="spellStart"/>
      <w:r w:rsidRPr="00982D01">
        <w:rPr>
          <w:rFonts w:ascii="Times New Roman" w:hAnsi="Times New Roman" w:cs="Times New Roman"/>
          <w:b/>
          <w:sz w:val="28"/>
          <w:szCs w:val="28"/>
          <w:lang w:val="en-US"/>
        </w:rPr>
        <w:t>Kizilova</w:t>
      </w:r>
      <w:proofErr w:type="spellEnd"/>
    </w:p>
    <w:p w14:paraId="5F906409" w14:textId="77777777" w:rsidR="00853BFE" w:rsidRPr="00982D01" w:rsidRDefault="00853BFE" w:rsidP="00853BFE">
      <w:pPr>
        <w:spacing w:after="0" w:line="360" w:lineRule="auto"/>
        <w:jc w:val="right"/>
        <w:rPr>
          <w:rFonts w:ascii="Times New Roman" w:hAnsi="Times New Roman" w:cs="Times New Roman"/>
          <w:b/>
          <w:sz w:val="28"/>
          <w:szCs w:val="28"/>
          <w:lang w:val="en-US"/>
        </w:rPr>
      </w:pPr>
      <w:proofErr w:type="spellStart"/>
      <w:r w:rsidRPr="00982D01">
        <w:rPr>
          <w:rFonts w:ascii="Times New Roman" w:hAnsi="Times New Roman" w:cs="Times New Roman"/>
          <w:b/>
          <w:sz w:val="28"/>
          <w:szCs w:val="28"/>
          <w:lang w:val="en-US"/>
        </w:rPr>
        <w:t>Roza</w:t>
      </w:r>
      <w:proofErr w:type="spellEnd"/>
      <w:r w:rsidRPr="00982D01">
        <w:rPr>
          <w:rFonts w:ascii="Times New Roman" w:hAnsi="Times New Roman" w:cs="Times New Roman"/>
          <w:b/>
          <w:sz w:val="28"/>
          <w:szCs w:val="28"/>
          <w:lang w:val="en-US"/>
        </w:rPr>
        <w:t xml:space="preserve"> V. </w:t>
      </w:r>
      <w:proofErr w:type="spellStart"/>
      <w:r w:rsidRPr="00982D01">
        <w:rPr>
          <w:rFonts w:ascii="Times New Roman" w:hAnsi="Times New Roman" w:cs="Times New Roman"/>
          <w:b/>
          <w:sz w:val="28"/>
          <w:szCs w:val="28"/>
          <w:lang w:val="en-US"/>
        </w:rPr>
        <w:t>Chvalon</w:t>
      </w:r>
      <w:proofErr w:type="spellEnd"/>
    </w:p>
    <w:p w14:paraId="415AA2FB" w14:textId="77777777" w:rsidR="00853BFE" w:rsidRPr="00982D01" w:rsidRDefault="00853BFE" w:rsidP="00853BFE">
      <w:pPr>
        <w:spacing w:after="0" w:line="360" w:lineRule="auto"/>
        <w:jc w:val="center"/>
        <w:rPr>
          <w:rFonts w:ascii="Times New Roman" w:hAnsi="Times New Roman" w:cs="Times New Roman"/>
          <w:b/>
          <w:sz w:val="28"/>
          <w:szCs w:val="28"/>
          <w:lang w:val="en-US"/>
        </w:rPr>
      </w:pPr>
      <w:r w:rsidRPr="00982D01">
        <w:rPr>
          <w:rFonts w:ascii="Times New Roman" w:hAnsi="Times New Roman" w:cs="Times New Roman"/>
          <w:b/>
          <w:sz w:val="28"/>
          <w:szCs w:val="28"/>
          <w:lang w:val="en-US"/>
        </w:rPr>
        <w:t>STRUCTURAL-SEMANTIC VARIETIES OF MACRO-PROPOSITIONS OF THE FRAME "ARMED COLLISION"</w:t>
      </w:r>
    </w:p>
    <w:p w14:paraId="4D2B5EBC" w14:textId="77777777" w:rsidR="00853BFE" w:rsidRPr="00982D01" w:rsidRDefault="00853BFE" w:rsidP="00853BFE">
      <w:pPr>
        <w:spacing w:after="0" w:line="360" w:lineRule="auto"/>
        <w:ind w:firstLine="709"/>
        <w:jc w:val="both"/>
        <w:rPr>
          <w:rFonts w:ascii="Times New Roman" w:hAnsi="Times New Roman" w:cs="Times New Roman"/>
          <w:bCs/>
          <w:sz w:val="28"/>
          <w:szCs w:val="28"/>
          <w:lang w:val="en-US"/>
        </w:rPr>
      </w:pPr>
      <w:r w:rsidRPr="00982D01">
        <w:rPr>
          <w:rFonts w:ascii="Times New Roman" w:hAnsi="Times New Roman" w:cs="Times New Roman"/>
          <w:bCs/>
          <w:sz w:val="28"/>
          <w:szCs w:val="28"/>
          <w:lang w:val="en-US"/>
        </w:rPr>
        <w:t xml:space="preserve">The article presents the results of the study of </w:t>
      </w:r>
      <w:proofErr w:type="spellStart"/>
      <w:r w:rsidRPr="00982D01">
        <w:rPr>
          <w:rFonts w:ascii="Times New Roman" w:hAnsi="Times New Roman" w:cs="Times New Roman"/>
          <w:bCs/>
          <w:sz w:val="28"/>
          <w:szCs w:val="28"/>
          <w:lang w:val="en-US"/>
        </w:rPr>
        <w:t>macropropositions</w:t>
      </w:r>
      <w:proofErr w:type="spellEnd"/>
      <w:r w:rsidRPr="00982D01">
        <w:rPr>
          <w:rFonts w:ascii="Times New Roman" w:hAnsi="Times New Roman" w:cs="Times New Roman"/>
          <w:bCs/>
          <w:sz w:val="28"/>
          <w:szCs w:val="28"/>
          <w:lang w:val="en-US"/>
        </w:rPr>
        <w:t xml:space="preserve"> representing the frame ARMED COLLISION in the news and analytical Internet discourse. The frame ARMED COLLISION is considered as a stable mental model of an event during which two or more parties come into contact with the use of weapons; armed conflict is limited in scope (as opposed to full-scale war), as well as territorially and temporally. It has been established that when describing the semantic-syntactic structures representing a frame in a text, the frame should be considered as a cognitive structure of a propositional nature: the main units of storage of semantic data in it are propositions that reflect the main actions and processes included in our standard ideas about typical situations. in real, virtual and imaginary reality. In the course of the study, while studying the syntactic structure and content of sentences representing the ARMED COLLISION frame in the texts of analytical and news articles, it was also found that the most significant and stable differences between the </w:t>
      </w:r>
      <w:proofErr w:type="spellStart"/>
      <w:r w:rsidRPr="00982D01">
        <w:rPr>
          <w:rFonts w:ascii="Times New Roman" w:hAnsi="Times New Roman" w:cs="Times New Roman"/>
          <w:bCs/>
          <w:sz w:val="28"/>
          <w:szCs w:val="28"/>
          <w:lang w:val="en-US"/>
        </w:rPr>
        <w:t>macropropositions</w:t>
      </w:r>
      <w:proofErr w:type="spellEnd"/>
      <w:r w:rsidRPr="00982D01">
        <w:rPr>
          <w:rFonts w:ascii="Times New Roman" w:hAnsi="Times New Roman" w:cs="Times New Roman"/>
          <w:bCs/>
          <w:sz w:val="28"/>
          <w:szCs w:val="28"/>
          <w:lang w:val="en-US"/>
        </w:rPr>
        <w:t xml:space="preserve"> of the studied frame are determined by the nature of the predicates in these structures, which is reflected in the classification of propositions. In the course of the study, the following structural-semantic types of </w:t>
      </w:r>
      <w:proofErr w:type="spellStart"/>
      <w:r w:rsidRPr="00982D01">
        <w:rPr>
          <w:rFonts w:ascii="Times New Roman" w:hAnsi="Times New Roman" w:cs="Times New Roman"/>
          <w:bCs/>
          <w:sz w:val="28"/>
          <w:szCs w:val="28"/>
          <w:lang w:val="en-US"/>
        </w:rPr>
        <w:t>macropropositions</w:t>
      </w:r>
      <w:proofErr w:type="spellEnd"/>
      <w:r w:rsidRPr="00982D01">
        <w:rPr>
          <w:rFonts w:ascii="Times New Roman" w:hAnsi="Times New Roman" w:cs="Times New Roman"/>
          <w:bCs/>
          <w:sz w:val="28"/>
          <w:szCs w:val="28"/>
          <w:lang w:val="en-US"/>
        </w:rPr>
        <w:t xml:space="preserve"> of the ARMED COLLISION frame were identified: </w:t>
      </w:r>
      <w:proofErr w:type="spellStart"/>
      <w:r w:rsidRPr="00982D01">
        <w:rPr>
          <w:rFonts w:ascii="Times New Roman" w:hAnsi="Times New Roman" w:cs="Times New Roman"/>
          <w:bCs/>
          <w:sz w:val="28"/>
          <w:szCs w:val="28"/>
          <w:lang w:val="en-US"/>
        </w:rPr>
        <w:t>macropropositions</w:t>
      </w:r>
      <w:proofErr w:type="spellEnd"/>
      <w:r w:rsidRPr="00982D01">
        <w:rPr>
          <w:rFonts w:ascii="Times New Roman" w:hAnsi="Times New Roman" w:cs="Times New Roman"/>
          <w:bCs/>
          <w:sz w:val="28"/>
          <w:szCs w:val="28"/>
          <w:lang w:val="en-US"/>
        </w:rPr>
        <w:t xml:space="preserve"> with existential predicates of a holistic event, </w:t>
      </w:r>
      <w:proofErr w:type="spellStart"/>
      <w:r w:rsidRPr="00982D01">
        <w:rPr>
          <w:rFonts w:ascii="Times New Roman" w:hAnsi="Times New Roman" w:cs="Times New Roman"/>
          <w:bCs/>
          <w:sz w:val="28"/>
          <w:szCs w:val="28"/>
          <w:lang w:val="en-US"/>
        </w:rPr>
        <w:t>macropropositions</w:t>
      </w:r>
      <w:proofErr w:type="spellEnd"/>
      <w:r w:rsidRPr="00982D01">
        <w:rPr>
          <w:rFonts w:ascii="Times New Roman" w:hAnsi="Times New Roman" w:cs="Times New Roman"/>
          <w:bCs/>
          <w:sz w:val="28"/>
          <w:szCs w:val="28"/>
          <w:lang w:val="en-US"/>
        </w:rPr>
        <w:t xml:space="preserve"> with a predicate with a phase value, </w:t>
      </w:r>
      <w:proofErr w:type="spellStart"/>
      <w:r w:rsidRPr="00982D01">
        <w:rPr>
          <w:rFonts w:ascii="Times New Roman" w:hAnsi="Times New Roman" w:cs="Times New Roman"/>
          <w:bCs/>
          <w:sz w:val="28"/>
          <w:szCs w:val="28"/>
          <w:lang w:val="en-US"/>
        </w:rPr>
        <w:t>macropropositions</w:t>
      </w:r>
      <w:proofErr w:type="spellEnd"/>
      <w:r w:rsidRPr="00982D01">
        <w:rPr>
          <w:rFonts w:ascii="Times New Roman" w:hAnsi="Times New Roman" w:cs="Times New Roman"/>
          <w:bCs/>
          <w:sz w:val="28"/>
          <w:szCs w:val="28"/>
          <w:lang w:val="en-US"/>
        </w:rPr>
        <w:t xml:space="preserve"> with a hypothetical event predicate, and quasi-</w:t>
      </w:r>
      <w:proofErr w:type="spellStart"/>
      <w:r w:rsidRPr="00982D01">
        <w:rPr>
          <w:rFonts w:ascii="Times New Roman" w:hAnsi="Times New Roman" w:cs="Times New Roman"/>
          <w:bCs/>
          <w:sz w:val="28"/>
          <w:szCs w:val="28"/>
          <w:lang w:val="en-US"/>
        </w:rPr>
        <w:t>macropropositions</w:t>
      </w:r>
      <w:proofErr w:type="spellEnd"/>
      <w:r w:rsidRPr="00982D01">
        <w:rPr>
          <w:rFonts w:ascii="Times New Roman" w:hAnsi="Times New Roman" w:cs="Times New Roman"/>
          <w:bCs/>
          <w:sz w:val="28"/>
          <w:szCs w:val="28"/>
          <w:lang w:val="en-US"/>
        </w:rPr>
        <w:t xml:space="preserve">. The study made it possible to confirm the thesis existing in linguistics that the use of one or another </w:t>
      </w:r>
      <w:proofErr w:type="spellStart"/>
      <w:r w:rsidRPr="00982D01">
        <w:rPr>
          <w:rFonts w:ascii="Times New Roman" w:hAnsi="Times New Roman" w:cs="Times New Roman"/>
          <w:bCs/>
          <w:sz w:val="28"/>
          <w:szCs w:val="28"/>
          <w:lang w:val="en-US"/>
        </w:rPr>
        <w:t>macroproposition</w:t>
      </w:r>
      <w:proofErr w:type="spellEnd"/>
      <w:r w:rsidRPr="00982D01">
        <w:rPr>
          <w:rFonts w:ascii="Times New Roman" w:hAnsi="Times New Roman" w:cs="Times New Roman"/>
          <w:bCs/>
          <w:sz w:val="28"/>
          <w:szCs w:val="28"/>
          <w:lang w:val="en-US"/>
        </w:rPr>
        <w:t xml:space="preserve"> to update the frame ARMED COLLISION in the text is due to a number of factors of a </w:t>
      </w:r>
      <w:proofErr w:type="spellStart"/>
      <w:r w:rsidRPr="00982D01">
        <w:rPr>
          <w:rFonts w:ascii="Times New Roman" w:hAnsi="Times New Roman" w:cs="Times New Roman"/>
          <w:bCs/>
          <w:sz w:val="28"/>
          <w:szCs w:val="28"/>
          <w:lang w:val="en-US"/>
        </w:rPr>
        <w:t>linguopragmatic</w:t>
      </w:r>
      <w:proofErr w:type="spellEnd"/>
      <w:r w:rsidRPr="00982D01">
        <w:rPr>
          <w:rFonts w:ascii="Times New Roman" w:hAnsi="Times New Roman" w:cs="Times New Roman"/>
          <w:bCs/>
          <w:sz w:val="28"/>
          <w:szCs w:val="28"/>
          <w:lang w:val="en-US"/>
        </w:rPr>
        <w:t xml:space="preserve">, cognitive-linguistic and structural-linguistic nature. In particular, </w:t>
      </w:r>
      <w:r w:rsidRPr="00982D01">
        <w:rPr>
          <w:rFonts w:ascii="Times New Roman" w:hAnsi="Times New Roman" w:cs="Times New Roman"/>
          <w:bCs/>
          <w:sz w:val="28"/>
          <w:szCs w:val="28"/>
          <w:lang w:val="en-US"/>
        </w:rPr>
        <w:lastRenderedPageBreak/>
        <w:t xml:space="preserve">linguo-pragmatic grounds are the main factor in choosing a type of </w:t>
      </w:r>
      <w:proofErr w:type="spellStart"/>
      <w:r w:rsidRPr="00982D01">
        <w:rPr>
          <w:rFonts w:ascii="Times New Roman" w:hAnsi="Times New Roman" w:cs="Times New Roman"/>
          <w:bCs/>
          <w:sz w:val="28"/>
          <w:szCs w:val="28"/>
          <w:lang w:val="en-US"/>
        </w:rPr>
        <w:t>macroproposition</w:t>
      </w:r>
      <w:proofErr w:type="spellEnd"/>
      <w:r w:rsidRPr="00982D01">
        <w:rPr>
          <w:rFonts w:ascii="Times New Roman" w:hAnsi="Times New Roman" w:cs="Times New Roman"/>
          <w:bCs/>
          <w:sz w:val="28"/>
          <w:szCs w:val="28"/>
          <w:lang w:val="en-US"/>
        </w:rPr>
        <w:t xml:space="preserve"> in the case when the author of the text aims to focus the attention of a potential addressee either on the very fact of an ARMED COLLISION or on the fact of participation of certain parties in it. </w:t>
      </w:r>
    </w:p>
    <w:p w14:paraId="13DE2D30" w14:textId="77777777" w:rsidR="00853BFE" w:rsidRPr="00982D01" w:rsidRDefault="00853BFE" w:rsidP="00853BFE">
      <w:pPr>
        <w:spacing w:after="0" w:line="360" w:lineRule="auto"/>
        <w:ind w:firstLine="709"/>
        <w:jc w:val="both"/>
        <w:rPr>
          <w:rFonts w:ascii="Times New Roman" w:hAnsi="Times New Roman" w:cs="Times New Roman"/>
          <w:b/>
          <w:sz w:val="28"/>
          <w:szCs w:val="28"/>
          <w:lang w:val="en-US"/>
        </w:rPr>
      </w:pPr>
      <w:r w:rsidRPr="00982D01">
        <w:rPr>
          <w:rFonts w:ascii="Times New Roman" w:hAnsi="Times New Roman" w:cs="Times New Roman"/>
          <w:b/>
          <w:sz w:val="28"/>
          <w:szCs w:val="28"/>
          <w:lang w:val="en-US"/>
        </w:rPr>
        <w:t xml:space="preserve">Key words: </w:t>
      </w:r>
      <w:r w:rsidRPr="00982D01">
        <w:rPr>
          <w:rFonts w:ascii="Times New Roman" w:hAnsi="Times New Roman" w:cs="Times New Roman"/>
          <w:bCs/>
          <w:sz w:val="28"/>
          <w:szCs w:val="28"/>
          <w:lang w:val="en-US"/>
        </w:rPr>
        <w:t xml:space="preserve">frame </w:t>
      </w:r>
      <w:proofErr w:type="spellStart"/>
      <w:r w:rsidRPr="00982D01">
        <w:rPr>
          <w:rFonts w:ascii="Times New Roman" w:hAnsi="Times New Roman" w:cs="Times New Roman"/>
          <w:bCs/>
          <w:sz w:val="28"/>
          <w:szCs w:val="28"/>
          <w:lang w:val="en-US"/>
        </w:rPr>
        <w:t>macroproposition</w:t>
      </w:r>
      <w:proofErr w:type="spellEnd"/>
      <w:r w:rsidRPr="00982D01">
        <w:rPr>
          <w:rFonts w:ascii="Times New Roman" w:hAnsi="Times New Roman" w:cs="Times New Roman"/>
          <w:bCs/>
          <w:sz w:val="28"/>
          <w:szCs w:val="28"/>
          <w:lang w:val="en-US"/>
        </w:rPr>
        <w:t>, semantic-syntactic structures, predicate, nuclear proposition, first term, semantic case.</w:t>
      </w:r>
    </w:p>
    <w:p w14:paraId="7203F4BF" w14:textId="77777777" w:rsidR="00853BFE" w:rsidRDefault="00853BFE" w:rsidP="00853BFE">
      <w:pPr>
        <w:autoSpaceDE w:val="0"/>
        <w:autoSpaceDN w:val="0"/>
        <w:adjustRightInd w:val="0"/>
        <w:spacing w:after="0" w:line="360" w:lineRule="auto"/>
        <w:ind w:firstLine="708"/>
        <w:rPr>
          <w:rFonts w:ascii="Times New Roman" w:hAnsi="Times New Roman" w:cs="Times New Roman"/>
          <w:b/>
          <w:bCs/>
          <w:sz w:val="28"/>
          <w:szCs w:val="28"/>
        </w:rPr>
      </w:pPr>
      <w:r w:rsidRPr="00982D01">
        <w:rPr>
          <w:rFonts w:ascii="Times New Roman" w:hAnsi="Times New Roman" w:cs="Times New Roman"/>
          <w:b/>
          <w:bCs/>
          <w:sz w:val="28"/>
          <w:szCs w:val="28"/>
        </w:rPr>
        <w:t>УДК 81’13</w:t>
      </w:r>
    </w:p>
    <w:p w14:paraId="1CD1276B" w14:textId="77777777" w:rsidR="00853BFE" w:rsidRPr="00982D01" w:rsidRDefault="00853BFE" w:rsidP="00853BFE">
      <w:pPr>
        <w:autoSpaceDE w:val="0"/>
        <w:autoSpaceDN w:val="0"/>
        <w:adjustRightInd w:val="0"/>
        <w:spacing w:after="0" w:line="360" w:lineRule="auto"/>
        <w:ind w:firstLine="708"/>
        <w:jc w:val="right"/>
        <w:rPr>
          <w:rFonts w:ascii="Times New Roman" w:hAnsi="Times New Roman" w:cs="Times New Roman"/>
          <w:b/>
          <w:sz w:val="28"/>
          <w:szCs w:val="28"/>
        </w:rPr>
      </w:pPr>
      <w:r w:rsidRPr="00B678FE">
        <w:rPr>
          <w:rFonts w:ascii="Times New Roman" w:hAnsi="Times New Roman" w:cs="Times New Roman"/>
          <w:b/>
          <w:sz w:val="28"/>
          <w:szCs w:val="28"/>
        </w:rPr>
        <w:t>http://doi.org/</w:t>
      </w:r>
      <w:r w:rsidRPr="001C7CF1">
        <w:rPr>
          <w:rFonts w:ascii="Times New Roman" w:hAnsi="Times New Roman" w:cs="Times New Roman"/>
          <w:b/>
          <w:sz w:val="28"/>
          <w:szCs w:val="28"/>
        </w:rPr>
        <w:t>10.37493/2409-1030.2022.2.21</w:t>
      </w:r>
    </w:p>
    <w:p w14:paraId="1EE1FA3B" w14:textId="77777777" w:rsidR="00853BFE" w:rsidRPr="00982D01" w:rsidRDefault="00853BFE" w:rsidP="00853BFE">
      <w:pPr>
        <w:autoSpaceDE w:val="0"/>
        <w:autoSpaceDN w:val="0"/>
        <w:adjustRightInd w:val="0"/>
        <w:spacing w:after="0" w:line="360" w:lineRule="auto"/>
        <w:ind w:firstLine="709"/>
        <w:jc w:val="right"/>
        <w:rPr>
          <w:rFonts w:ascii="Times New Roman" w:hAnsi="Times New Roman" w:cs="Times New Roman"/>
          <w:b/>
          <w:sz w:val="28"/>
          <w:szCs w:val="28"/>
        </w:rPr>
      </w:pPr>
      <w:r w:rsidRPr="00982D01">
        <w:rPr>
          <w:rFonts w:ascii="Times New Roman" w:hAnsi="Times New Roman" w:cs="Times New Roman"/>
          <w:b/>
          <w:sz w:val="28"/>
          <w:szCs w:val="28"/>
        </w:rPr>
        <w:t>Д.М. Миронова</w:t>
      </w:r>
    </w:p>
    <w:p w14:paraId="5E49726A" w14:textId="77777777" w:rsidR="00853BFE" w:rsidRPr="00982D01" w:rsidRDefault="00853BFE" w:rsidP="00853BFE">
      <w:pPr>
        <w:autoSpaceDE w:val="0"/>
        <w:autoSpaceDN w:val="0"/>
        <w:adjustRightInd w:val="0"/>
        <w:spacing w:after="0" w:line="360" w:lineRule="auto"/>
        <w:ind w:firstLine="709"/>
        <w:jc w:val="center"/>
        <w:rPr>
          <w:rFonts w:ascii="Times New Roman" w:hAnsi="Times New Roman" w:cs="Times New Roman"/>
          <w:b/>
          <w:sz w:val="28"/>
          <w:szCs w:val="28"/>
        </w:rPr>
      </w:pPr>
      <w:r w:rsidRPr="00982D01">
        <w:rPr>
          <w:rFonts w:ascii="Times New Roman" w:hAnsi="Times New Roman" w:cs="Times New Roman"/>
          <w:b/>
          <w:sz w:val="28"/>
          <w:szCs w:val="28"/>
        </w:rPr>
        <w:t xml:space="preserve">МОДЕЛИРОВАНИЕ СУБСТАНЦИОНАЛЬНЫХ СВОЙСТВ ЯЗЫКОВОЙ СИСТЕМЫ СКВОЗЬ ПРИЗМУ ТЕОРИИ ОРГАНИЗАЦИИ СИСТЕМ </w:t>
      </w:r>
    </w:p>
    <w:p w14:paraId="42B72333" w14:textId="77777777" w:rsidR="00853BFE" w:rsidRPr="00982D01" w:rsidRDefault="00853BFE" w:rsidP="00853BFE">
      <w:pPr>
        <w:autoSpaceDE w:val="0"/>
        <w:autoSpaceDN w:val="0"/>
        <w:adjustRightInd w:val="0"/>
        <w:spacing w:after="0" w:line="360" w:lineRule="auto"/>
        <w:ind w:firstLine="709"/>
        <w:jc w:val="both"/>
        <w:rPr>
          <w:rFonts w:ascii="Times New Roman" w:hAnsi="Times New Roman" w:cs="Times New Roman"/>
          <w:sz w:val="28"/>
          <w:szCs w:val="28"/>
        </w:rPr>
      </w:pPr>
      <w:r w:rsidRPr="00982D01">
        <w:rPr>
          <w:rFonts w:ascii="Times New Roman" w:hAnsi="Times New Roman" w:cs="Times New Roman"/>
          <w:sz w:val="28"/>
          <w:szCs w:val="28"/>
        </w:rPr>
        <w:t xml:space="preserve">Статья выполнена в русле системных исследований языка, призванных охарактеризовать его с точки зрения важнейших характеристик онтологии открытых систем. Актуальность исследования обусловлена недостаточной разработанностью такой системной модели языка, которая бы учитывала антропоцентрические функции этого феномена. В поле внимания помещается ряд важнейших аспектов организации языковой системы, как они представлены соотносительно с её функцией – быть средством приобретения, обработки, хранения и трансляции содержания сознания. Данный предмет рассмотрения определяет собой новизну предпринятого исследования, а также соответствующей этому предмету методологии. В качестве ведущего метода устанавливается метод </w:t>
      </w:r>
      <w:proofErr w:type="spellStart"/>
      <w:r w:rsidRPr="00982D01">
        <w:rPr>
          <w:rFonts w:ascii="Times New Roman" w:hAnsi="Times New Roman" w:cs="Times New Roman"/>
          <w:sz w:val="28"/>
          <w:szCs w:val="28"/>
        </w:rPr>
        <w:t>системологической</w:t>
      </w:r>
      <w:proofErr w:type="spellEnd"/>
      <w:r w:rsidRPr="00982D01">
        <w:rPr>
          <w:rFonts w:ascii="Times New Roman" w:hAnsi="Times New Roman" w:cs="Times New Roman"/>
          <w:sz w:val="28"/>
          <w:szCs w:val="28"/>
        </w:rPr>
        <w:t xml:space="preserve"> интерпретации языковых / речевых явлений, обусловленных задачами вербальной концептуализации или категоризации объектов действительности. С позиций комплексного подхода, сочетающего в себе установки теории систем и </w:t>
      </w:r>
      <w:proofErr w:type="spellStart"/>
      <w:r w:rsidRPr="00982D01">
        <w:rPr>
          <w:rFonts w:ascii="Times New Roman" w:hAnsi="Times New Roman" w:cs="Times New Roman"/>
          <w:sz w:val="28"/>
          <w:szCs w:val="28"/>
        </w:rPr>
        <w:t>лингвокогнитологии</w:t>
      </w:r>
      <w:proofErr w:type="spellEnd"/>
      <w:r w:rsidRPr="00982D01">
        <w:rPr>
          <w:rFonts w:ascii="Times New Roman" w:hAnsi="Times New Roman" w:cs="Times New Roman"/>
          <w:sz w:val="28"/>
          <w:szCs w:val="28"/>
        </w:rPr>
        <w:t xml:space="preserve">, анализу подвергаются субстанциональные качества естественного языка, под которыми подразумеваются свойства его состава. </w:t>
      </w:r>
      <w:proofErr w:type="spellStart"/>
      <w:r w:rsidRPr="00982D01">
        <w:rPr>
          <w:rFonts w:ascii="Times New Roman" w:hAnsi="Times New Roman" w:cs="Times New Roman"/>
          <w:sz w:val="28"/>
          <w:szCs w:val="28"/>
        </w:rPr>
        <w:t>Когнитивно</w:t>
      </w:r>
      <w:proofErr w:type="spellEnd"/>
      <w:r w:rsidRPr="00982D01">
        <w:rPr>
          <w:rFonts w:ascii="Times New Roman" w:hAnsi="Times New Roman" w:cs="Times New Roman"/>
          <w:sz w:val="28"/>
          <w:szCs w:val="28"/>
        </w:rPr>
        <w:t xml:space="preserve"> ориентированная организация составляющих языковой системы рассматривается в соотношении с такими универсальными принципами </w:t>
      </w:r>
      <w:r w:rsidRPr="00982D01">
        <w:rPr>
          <w:rFonts w:ascii="Times New Roman" w:hAnsi="Times New Roman" w:cs="Times New Roman"/>
          <w:sz w:val="28"/>
          <w:szCs w:val="28"/>
        </w:rPr>
        <w:lastRenderedPageBreak/>
        <w:t xml:space="preserve">организации системных объектов, как наличие субстанциональных ограничений в системе, </w:t>
      </w:r>
      <w:r w:rsidRPr="00982D01">
        <w:rPr>
          <w:rFonts w:ascii="Times New Roman" w:hAnsi="Times New Roman" w:cs="Times New Roman"/>
          <w:bCs/>
          <w:sz w:val="28"/>
          <w:szCs w:val="28"/>
        </w:rPr>
        <w:t xml:space="preserve">зависимость </w:t>
      </w:r>
      <w:proofErr w:type="spellStart"/>
      <w:r w:rsidRPr="00982D01">
        <w:rPr>
          <w:rFonts w:ascii="Times New Roman" w:hAnsi="Times New Roman" w:cs="Times New Roman"/>
          <w:bCs/>
          <w:sz w:val="28"/>
          <w:szCs w:val="28"/>
        </w:rPr>
        <w:t>целеобразования</w:t>
      </w:r>
      <w:proofErr w:type="spellEnd"/>
      <w:r w:rsidRPr="00982D01">
        <w:rPr>
          <w:rFonts w:ascii="Times New Roman" w:hAnsi="Times New Roman" w:cs="Times New Roman"/>
          <w:bCs/>
          <w:sz w:val="28"/>
          <w:szCs w:val="28"/>
        </w:rPr>
        <w:t xml:space="preserve"> от внешних и внутренних факторов, взаимное двойное регулирование, относительность воздействия на среду, специализация, координация и отбор наиболее эффективных компонентов. С обращением к частным языковым явлениям из области знаковых средств иллюстрируется реализация законов формирования и регулирования системной организованности, содействующей концептуализации мира с помощью языка. </w:t>
      </w:r>
    </w:p>
    <w:p w14:paraId="06CE3B70" w14:textId="77777777" w:rsidR="00853BFE" w:rsidRPr="00982D01" w:rsidRDefault="00853BFE" w:rsidP="00853BFE">
      <w:pPr>
        <w:autoSpaceDE w:val="0"/>
        <w:autoSpaceDN w:val="0"/>
        <w:adjustRightInd w:val="0"/>
        <w:spacing w:after="0" w:line="360" w:lineRule="auto"/>
        <w:ind w:firstLine="709"/>
        <w:jc w:val="both"/>
        <w:rPr>
          <w:rFonts w:ascii="Times New Roman" w:hAnsi="Times New Roman" w:cs="Times New Roman"/>
          <w:bCs/>
          <w:sz w:val="28"/>
          <w:szCs w:val="28"/>
        </w:rPr>
      </w:pPr>
      <w:r w:rsidRPr="00982D01">
        <w:rPr>
          <w:rFonts w:ascii="Times New Roman" w:hAnsi="Times New Roman" w:cs="Times New Roman"/>
          <w:b/>
          <w:bCs/>
          <w:sz w:val="28"/>
          <w:szCs w:val="28"/>
        </w:rPr>
        <w:t>Ключевые слова</w:t>
      </w:r>
      <w:r w:rsidRPr="00982D01">
        <w:rPr>
          <w:rFonts w:ascii="Times New Roman" w:hAnsi="Times New Roman" w:cs="Times New Roman"/>
          <w:bCs/>
          <w:sz w:val="28"/>
          <w:szCs w:val="28"/>
        </w:rPr>
        <w:t xml:space="preserve">: общая теория систем, организация систем, система языка, когнитивная функция языка, концептуализация мира в языке.   </w:t>
      </w:r>
    </w:p>
    <w:p w14:paraId="30CAFE59" w14:textId="77777777" w:rsidR="00853BFE" w:rsidRPr="00982D01" w:rsidRDefault="00853BFE" w:rsidP="00853BFE">
      <w:pPr>
        <w:autoSpaceDE w:val="0"/>
        <w:autoSpaceDN w:val="0"/>
        <w:adjustRightInd w:val="0"/>
        <w:spacing w:after="0" w:line="360" w:lineRule="auto"/>
        <w:ind w:firstLine="709"/>
        <w:jc w:val="right"/>
        <w:rPr>
          <w:rFonts w:ascii="Times New Roman" w:hAnsi="Times New Roman" w:cs="Times New Roman"/>
          <w:b/>
          <w:bCs/>
          <w:sz w:val="28"/>
          <w:szCs w:val="28"/>
          <w:lang w:val="en-US"/>
        </w:rPr>
      </w:pPr>
      <w:r w:rsidRPr="00982D01">
        <w:rPr>
          <w:rFonts w:ascii="Times New Roman" w:hAnsi="Times New Roman" w:cs="Times New Roman"/>
          <w:b/>
          <w:bCs/>
          <w:sz w:val="28"/>
          <w:szCs w:val="28"/>
          <w:lang w:val="en-US"/>
        </w:rPr>
        <w:t>Diana M. Mironova</w:t>
      </w:r>
    </w:p>
    <w:p w14:paraId="768C5AD2" w14:textId="77777777" w:rsidR="00853BFE" w:rsidRPr="00982D01" w:rsidRDefault="00853BFE" w:rsidP="00853BFE">
      <w:pPr>
        <w:autoSpaceDE w:val="0"/>
        <w:autoSpaceDN w:val="0"/>
        <w:adjustRightInd w:val="0"/>
        <w:spacing w:after="0" w:line="360" w:lineRule="auto"/>
        <w:ind w:firstLine="709"/>
        <w:jc w:val="center"/>
        <w:rPr>
          <w:rFonts w:ascii="Times New Roman" w:eastAsia="Times New Roman" w:hAnsi="Times New Roman" w:cs="Times New Roman"/>
          <w:b/>
          <w:color w:val="000000"/>
          <w:sz w:val="28"/>
          <w:szCs w:val="28"/>
          <w:lang w:val="en-US" w:eastAsia="ru-RU"/>
        </w:rPr>
      </w:pPr>
      <w:r w:rsidRPr="00982D01">
        <w:rPr>
          <w:rFonts w:ascii="Times New Roman" w:eastAsia="Times New Roman" w:hAnsi="Times New Roman" w:cs="Times New Roman"/>
          <w:b/>
          <w:color w:val="000000"/>
          <w:sz w:val="28"/>
          <w:szCs w:val="28"/>
          <w:lang w:val="en-US" w:eastAsia="ru-RU"/>
        </w:rPr>
        <w:t xml:space="preserve">MODELING OF THE ELEMENTARY PROPERTIES </w:t>
      </w:r>
    </w:p>
    <w:p w14:paraId="018516DD" w14:textId="77777777" w:rsidR="00853BFE" w:rsidRPr="00982D01" w:rsidRDefault="00853BFE" w:rsidP="00853BFE">
      <w:pPr>
        <w:autoSpaceDE w:val="0"/>
        <w:autoSpaceDN w:val="0"/>
        <w:adjustRightInd w:val="0"/>
        <w:spacing w:after="0" w:line="360" w:lineRule="auto"/>
        <w:ind w:firstLine="709"/>
        <w:jc w:val="center"/>
        <w:rPr>
          <w:rFonts w:ascii="Times New Roman" w:eastAsia="Times New Roman" w:hAnsi="Times New Roman" w:cs="Times New Roman"/>
          <w:b/>
          <w:color w:val="000000"/>
          <w:sz w:val="28"/>
          <w:szCs w:val="28"/>
          <w:lang w:val="en-US" w:eastAsia="ru-RU"/>
        </w:rPr>
      </w:pPr>
      <w:r w:rsidRPr="00982D01">
        <w:rPr>
          <w:rFonts w:ascii="Times New Roman" w:eastAsia="Times New Roman" w:hAnsi="Times New Roman" w:cs="Times New Roman"/>
          <w:b/>
          <w:color w:val="000000"/>
          <w:sz w:val="28"/>
          <w:szCs w:val="28"/>
          <w:lang w:val="en-US" w:eastAsia="ru-RU"/>
        </w:rPr>
        <w:t xml:space="preserve">OF A LANGUAGE SYSTEM THROUGH THE PRISM </w:t>
      </w:r>
    </w:p>
    <w:p w14:paraId="69CAD767" w14:textId="77777777" w:rsidR="00853BFE" w:rsidRPr="00982D01" w:rsidRDefault="00853BFE" w:rsidP="00853BFE">
      <w:pPr>
        <w:autoSpaceDE w:val="0"/>
        <w:autoSpaceDN w:val="0"/>
        <w:adjustRightInd w:val="0"/>
        <w:spacing w:after="0" w:line="360" w:lineRule="auto"/>
        <w:ind w:firstLine="709"/>
        <w:jc w:val="center"/>
        <w:rPr>
          <w:rFonts w:ascii="Times New Roman" w:eastAsia="Times New Roman" w:hAnsi="Times New Roman" w:cs="Times New Roman"/>
          <w:b/>
          <w:color w:val="000000"/>
          <w:sz w:val="28"/>
          <w:szCs w:val="28"/>
          <w:lang w:val="en-US" w:eastAsia="ru-RU"/>
        </w:rPr>
      </w:pPr>
      <w:r w:rsidRPr="00982D01">
        <w:rPr>
          <w:rFonts w:ascii="Times New Roman" w:eastAsia="Times New Roman" w:hAnsi="Times New Roman" w:cs="Times New Roman"/>
          <w:b/>
          <w:color w:val="000000"/>
          <w:sz w:val="28"/>
          <w:szCs w:val="28"/>
          <w:lang w:val="en-US" w:eastAsia="ru-RU"/>
        </w:rPr>
        <w:t>OF THE THEORY ON THE SYSTEMS ORGANIZATION</w:t>
      </w:r>
    </w:p>
    <w:p w14:paraId="25B67053" w14:textId="77777777" w:rsidR="00853BFE" w:rsidRPr="00982D01" w:rsidRDefault="00853BFE" w:rsidP="00853BFE">
      <w:pPr>
        <w:autoSpaceDE w:val="0"/>
        <w:autoSpaceDN w:val="0"/>
        <w:adjustRightInd w:val="0"/>
        <w:spacing w:after="0" w:line="360" w:lineRule="auto"/>
        <w:ind w:firstLine="709"/>
        <w:jc w:val="both"/>
        <w:rPr>
          <w:rFonts w:ascii="Times New Roman" w:hAnsi="Times New Roman" w:cs="Times New Roman"/>
          <w:sz w:val="28"/>
          <w:szCs w:val="28"/>
          <w:lang w:val="en-US"/>
        </w:rPr>
      </w:pPr>
      <w:r w:rsidRPr="00982D01">
        <w:rPr>
          <w:rFonts w:ascii="Times New Roman" w:eastAsia="Times New Roman" w:hAnsi="Times New Roman" w:cs="Times New Roman"/>
          <w:color w:val="000000"/>
          <w:sz w:val="28"/>
          <w:szCs w:val="28"/>
          <w:lang w:val="en-US" w:eastAsia="ru-RU"/>
        </w:rPr>
        <w:t>The research is prepared in line with the system studies of language, designed to characterize it from the point of view of the most important characteristics of system ontology</w:t>
      </w:r>
      <w:r w:rsidRPr="00982D01">
        <w:rPr>
          <w:rFonts w:ascii="Times New Roman" w:hAnsi="Times New Roman" w:cs="Times New Roman"/>
          <w:sz w:val="28"/>
          <w:szCs w:val="28"/>
          <w:lang w:val="en-US"/>
        </w:rPr>
        <w:t xml:space="preserve">. The relevance of such studies in contemporary linguistics is caused to the insufficient development of the system model of language, taking into account the anthropocentric functions of this phenomenon. Research attention is focused on some of the most important aspects of the organization of the language system, as they are presented in relation to its function – to be a means of acquiring, processing, storing and revealing the content of consciousness. </w:t>
      </w:r>
      <w:r w:rsidRPr="00982D01">
        <w:rPr>
          <w:rFonts w:ascii="Times New Roman" w:hAnsi="Times New Roman" w:cs="Times New Roman"/>
          <w:color w:val="000000"/>
          <w:sz w:val="28"/>
          <w:szCs w:val="28"/>
          <w:lang w:val="en-US"/>
        </w:rPr>
        <w:t>This subject of consideration determines the novelty of the research, as well as the methodology corresponding to this subject. The research put forward as the leading method</w:t>
      </w:r>
      <w:r w:rsidRPr="00982D01">
        <w:rPr>
          <w:rFonts w:ascii="Times New Roman" w:hAnsi="Times New Roman" w:cs="Times New Roman"/>
          <w:sz w:val="28"/>
          <w:szCs w:val="28"/>
          <w:lang w:val="en-US"/>
        </w:rPr>
        <w:t xml:space="preserve"> t</w:t>
      </w:r>
      <w:r w:rsidRPr="00982D01">
        <w:rPr>
          <w:rFonts w:ascii="Times New Roman" w:hAnsi="Times New Roman" w:cs="Times New Roman"/>
          <w:color w:val="000000"/>
          <w:sz w:val="28"/>
          <w:szCs w:val="28"/>
          <w:lang w:val="en-US"/>
        </w:rPr>
        <w:t xml:space="preserve">he method of </w:t>
      </w:r>
      <w:proofErr w:type="spellStart"/>
      <w:r w:rsidRPr="00982D01">
        <w:rPr>
          <w:rFonts w:ascii="Times New Roman" w:hAnsi="Times New Roman" w:cs="Times New Roman"/>
          <w:color w:val="000000"/>
          <w:sz w:val="28"/>
          <w:szCs w:val="28"/>
          <w:lang w:val="en-US"/>
        </w:rPr>
        <w:t>systemological</w:t>
      </w:r>
      <w:proofErr w:type="spellEnd"/>
      <w:r w:rsidRPr="00982D01">
        <w:rPr>
          <w:rFonts w:ascii="Times New Roman" w:hAnsi="Times New Roman" w:cs="Times New Roman"/>
          <w:color w:val="000000"/>
          <w:sz w:val="28"/>
          <w:szCs w:val="28"/>
          <w:lang w:val="en-US"/>
        </w:rPr>
        <w:t xml:space="preserve"> interpretation of language / speech phenomena caused by the tasks of verbal conceptualization or categorization of real objects.</w:t>
      </w:r>
      <w:r w:rsidRPr="00982D01">
        <w:rPr>
          <w:rFonts w:ascii="Times New Roman" w:hAnsi="Times New Roman" w:cs="Times New Roman"/>
          <w:sz w:val="28"/>
          <w:szCs w:val="28"/>
          <w:lang w:val="en-US"/>
        </w:rPr>
        <w:t xml:space="preserve"> Based on complex approach that combines the attitudes of systems theory and cognitive linguistics, the author makes an analysis of the elementary qualities of natural language, which mean the properties of its compound. </w:t>
      </w:r>
      <w:r w:rsidRPr="00982D01">
        <w:rPr>
          <w:rFonts w:ascii="Times New Roman" w:hAnsi="Times New Roman" w:cs="Times New Roman"/>
          <w:bCs/>
          <w:sz w:val="28"/>
          <w:szCs w:val="28"/>
          <w:lang w:val="en-US"/>
        </w:rPr>
        <w:t xml:space="preserve">The cognitively directed organization of the components of a language system is considered in relation to such universal </w:t>
      </w:r>
      <w:r w:rsidRPr="00982D01">
        <w:rPr>
          <w:rFonts w:ascii="Times New Roman" w:hAnsi="Times New Roman" w:cs="Times New Roman"/>
          <w:bCs/>
          <w:sz w:val="28"/>
          <w:szCs w:val="28"/>
          <w:lang w:val="en-US"/>
        </w:rPr>
        <w:lastRenderedPageBreak/>
        <w:t xml:space="preserve">principles of the organization of system objects as the presence of substantial limitations in the system, the dependence of goal formation on external and internal factors, mutual double regulation, the relativity of the exposure on the environment, specialization, coordination and selection of the most effective components. </w:t>
      </w:r>
      <w:r w:rsidRPr="00982D01">
        <w:rPr>
          <w:rFonts w:ascii="Times New Roman" w:hAnsi="Times New Roman" w:cs="Times New Roman"/>
          <w:color w:val="000000"/>
          <w:sz w:val="28"/>
          <w:szCs w:val="28"/>
          <w:lang w:val="en-US"/>
        </w:rPr>
        <w:t>With the use</w:t>
      </w:r>
      <w:r w:rsidRPr="00982D01">
        <w:rPr>
          <w:rFonts w:ascii="Times New Roman" w:hAnsi="Times New Roman" w:cs="Times New Roman"/>
          <w:bCs/>
          <w:sz w:val="28"/>
          <w:szCs w:val="28"/>
          <w:lang w:val="en-US"/>
        </w:rPr>
        <w:t xml:space="preserve"> of particular linguistic phenomena from the field of sign units the research illustrates the implementation of the laws of formation and regulation of systemic organization, contributing to the language conceptualization of the world.</w:t>
      </w:r>
    </w:p>
    <w:p w14:paraId="62FFE04A" w14:textId="77777777" w:rsidR="00853BFE" w:rsidRPr="00982D01" w:rsidRDefault="00853BFE" w:rsidP="00853BFE">
      <w:pPr>
        <w:autoSpaceDE w:val="0"/>
        <w:autoSpaceDN w:val="0"/>
        <w:adjustRightInd w:val="0"/>
        <w:spacing w:after="0" w:line="360" w:lineRule="auto"/>
        <w:ind w:firstLine="709"/>
        <w:jc w:val="both"/>
        <w:rPr>
          <w:rFonts w:ascii="Times New Roman" w:hAnsi="Times New Roman" w:cs="Times New Roman"/>
          <w:bCs/>
          <w:sz w:val="28"/>
          <w:szCs w:val="28"/>
          <w:lang w:val="en-US"/>
        </w:rPr>
      </w:pPr>
      <w:r w:rsidRPr="00982D01">
        <w:rPr>
          <w:rFonts w:ascii="Times New Roman" w:hAnsi="Times New Roman" w:cs="Times New Roman"/>
          <w:b/>
          <w:bCs/>
          <w:sz w:val="28"/>
          <w:szCs w:val="28"/>
          <w:lang w:val="en-US"/>
        </w:rPr>
        <w:t>Key words</w:t>
      </w:r>
      <w:r w:rsidRPr="00982D01">
        <w:rPr>
          <w:rFonts w:ascii="Times New Roman" w:hAnsi="Times New Roman" w:cs="Times New Roman"/>
          <w:bCs/>
          <w:sz w:val="28"/>
          <w:szCs w:val="28"/>
          <w:lang w:val="en-US"/>
        </w:rPr>
        <w:t xml:space="preserve">: general system theory, organization of systems, system of language, cognitive function of language, language conceptualization of the world.  </w:t>
      </w:r>
    </w:p>
    <w:p w14:paraId="711497A7" w14:textId="77777777" w:rsidR="00853BFE" w:rsidRDefault="00853BFE" w:rsidP="00853BFE">
      <w:pPr>
        <w:spacing w:line="240" w:lineRule="auto"/>
        <w:ind w:firstLine="709"/>
        <w:contextualSpacing/>
        <w:rPr>
          <w:rFonts w:ascii="Times New Roman" w:hAnsi="Times New Roman" w:cs="Times New Roman"/>
          <w:b/>
          <w:bCs/>
          <w:sz w:val="28"/>
          <w:szCs w:val="28"/>
        </w:rPr>
      </w:pPr>
      <w:r w:rsidRPr="00982D01">
        <w:rPr>
          <w:rFonts w:ascii="Times New Roman" w:hAnsi="Times New Roman" w:cs="Times New Roman"/>
          <w:b/>
          <w:bCs/>
          <w:sz w:val="28"/>
          <w:szCs w:val="28"/>
        </w:rPr>
        <w:t>УДК 81`372</w:t>
      </w:r>
    </w:p>
    <w:p w14:paraId="3E0AE491" w14:textId="77777777" w:rsidR="00853BFE" w:rsidRPr="00443AB3" w:rsidRDefault="00853BFE" w:rsidP="00853BFE">
      <w:pPr>
        <w:autoSpaceDE w:val="0"/>
        <w:autoSpaceDN w:val="0"/>
        <w:adjustRightInd w:val="0"/>
        <w:spacing w:after="0" w:line="240" w:lineRule="auto"/>
        <w:ind w:firstLine="709"/>
        <w:jc w:val="right"/>
        <w:rPr>
          <w:rFonts w:ascii="Times New Roman" w:hAnsi="Times New Roman" w:cs="Times New Roman"/>
          <w:b/>
          <w:sz w:val="28"/>
          <w:szCs w:val="28"/>
        </w:rPr>
      </w:pPr>
      <w:r w:rsidRPr="00443AB3">
        <w:rPr>
          <w:rFonts w:ascii="Times New Roman" w:hAnsi="Times New Roman" w:cs="Times New Roman"/>
          <w:b/>
          <w:sz w:val="28"/>
          <w:szCs w:val="28"/>
          <w:lang w:val="en-US"/>
        </w:rPr>
        <w:t>http</w:t>
      </w:r>
      <w:r w:rsidRPr="00443AB3">
        <w:rPr>
          <w:rFonts w:ascii="Times New Roman" w:hAnsi="Times New Roman" w:cs="Times New Roman"/>
          <w:b/>
          <w:sz w:val="28"/>
          <w:szCs w:val="28"/>
        </w:rPr>
        <w:t>://</w:t>
      </w:r>
      <w:proofErr w:type="spellStart"/>
      <w:r w:rsidRPr="00443AB3">
        <w:rPr>
          <w:rFonts w:ascii="Times New Roman" w:hAnsi="Times New Roman" w:cs="Times New Roman"/>
          <w:b/>
          <w:sz w:val="28"/>
          <w:szCs w:val="28"/>
          <w:lang w:val="en-US"/>
        </w:rPr>
        <w:t>doi</w:t>
      </w:r>
      <w:proofErr w:type="spellEnd"/>
      <w:r w:rsidRPr="00443AB3">
        <w:rPr>
          <w:rFonts w:ascii="Times New Roman" w:hAnsi="Times New Roman" w:cs="Times New Roman"/>
          <w:b/>
          <w:sz w:val="28"/>
          <w:szCs w:val="28"/>
        </w:rPr>
        <w:t>.</w:t>
      </w:r>
      <w:r w:rsidRPr="00443AB3">
        <w:rPr>
          <w:rFonts w:ascii="Times New Roman" w:hAnsi="Times New Roman" w:cs="Times New Roman"/>
          <w:b/>
          <w:sz w:val="28"/>
          <w:szCs w:val="28"/>
          <w:lang w:val="en-US"/>
        </w:rPr>
        <w:t>org</w:t>
      </w:r>
      <w:r w:rsidRPr="00443AB3">
        <w:rPr>
          <w:rFonts w:ascii="Times New Roman" w:hAnsi="Times New Roman" w:cs="Times New Roman"/>
          <w:b/>
          <w:sz w:val="28"/>
          <w:szCs w:val="28"/>
        </w:rPr>
        <w:t>/10.37493/2409-1030.2022.2.2</w:t>
      </w:r>
      <w:r>
        <w:rPr>
          <w:rFonts w:ascii="Times New Roman" w:hAnsi="Times New Roman" w:cs="Times New Roman"/>
          <w:b/>
          <w:sz w:val="28"/>
          <w:szCs w:val="28"/>
        </w:rPr>
        <w:t>2</w:t>
      </w:r>
    </w:p>
    <w:p w14:paraId="42EF751A" w14:textId="77777777" w:rsidR="00853BFE" w:rsidRPr="00982D01" w:rsidRDefault="00853BFE" w:rsidP="00853BFE">
      <w:pPr>
        <w:spacing w:after="0" w:line="360" w:lineRule="auto"/>
        <w:contextualSpacing/>
        <w:jc w:val="right"/>
        <w:rPr>
          <w:rFonts w:ascii="Times New Roman" w:hAnsi="Times New Roman" w:cs="Times New Roman"/>
          <w:b/>
        </w:rPr>
      </w:pPr>
      <w:r w:rsidRPr="00982D01">
        <w:rPr>
          <w:rFonts w:ascii="Times New Roman" w:eastAsia="Times New Roman" w:hAnsi="Times New Roman" w:cs="Times New Roman"/>
          <w:b/>
          <w:noProof/>
          <w:lang w:eastAsia="ru-RU"/>
        </w:rPr>
        <mc:AlternateContent>
          <mc:Choice Requires="wps">
            <w:drawing>
              <wp:anchor distT="0" distB="0" distL="114300" distR="114300" simplePos="0" relativeHeight="251659264" behindDoc="0" locked="0" layoutInCell="1" allowOverlap="1" wp14:anchorId="34469913" wp14:editId="136B3516">
                <wp:simplePos x="0" y="0"/>
                <wp:positionH relativeFrom="column">
                  <wp:posOffset>0</wp:posOffset>
                </wp:positionH>
                <wp:positionV relativeFrom="paragraph">
                  <wp:posOffset>0</wp:posOffset>
                </wp:positionV>
                <wp:extent cx="635000" cy="635000"/>
                <wp:effectExtent l="19050" t="19050" r="12700" b="12700"/>
                <wp:wrapNone/>
                <wp:docPr id="4" name="AutoShape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27BEC" id="AutoShape 8"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">
                <v:stroke joinstyle="round"/>
                <o:lock v:ext="edit" selection="t"/>
              </v:rect>
            </w:pict>
          </mc:Fallback>
        </mc:AlternateContent>
      </w:r>
      <w:r w:rsidRPr="00982D01">
        <w:rPr>
          <w:rFonts w:ascii="Times New Roman" w:hAnsi="Times New Roman" w:cs="Times New Roman"/>
          <w:b/>
          <w:iCs/>
          <w:sz w:val="28"/>
          <w:szCs w:val="28"/>
        </w:rPr>
        <w:t xml:space="preserve">В.О. </w:t>
      </w:r>
      <w:proofErr w:type="spellStart"/>
      <w:r w:rsidRPr="00982D01">
        <w:rPr>
          <w:rFonts w:ascii="Times New Roman" w:hAnsi="Times New Roman" w:cs="Times New Roman"/>
          <w:b/>
          <w:iCs/>
          <w:sz w:val="28"/>
          <w:szCs w:val="28"/>
        </w:rPr>
        <w:t>Парешнева</w:t>
      </w:r>
      <w:proofErr w:type="spellEnd"/>
    </w:p>
    <w:p w14:paraId="776C4BE5" w14:textId="77777777" w:rsidR="00853BFE" w:rsidRPr="00982D01" w:rsidRDefault="00853BFE" w:rsidP="00853BFE">
      <w:pPr>
        <w:spacing w:line="360" w:lineRule="auto"/>
        <w:jc w:val="center"/>
        <w:rPr>
          <w:rFonts w:ascii="Times New Roman" w:hAnsi="Times New Roman" w:cs="Times New Roman"/>
          <w:sz w:val="28"/>
          <w:szCs w:val="28"/>
        </w:rPr>
      </w:pPr>
      <w:r w:rsidRPr="00982D01">
        <w:rPr>
          <w:rFonts w:ascii="Times New Roman" w:hAnsi="Times New Roman" w:cs="Times New Roman"/>
          <w:b/>
          <w:sz w:val="28"/>
          <w:szCs w:val="28"/>
        </w:rPr>
        <w:t xml:space="preserve">МЕТАФОРИКА </w:t>
      </w:r>
      <w:r w:rsidRPr="00982D01">
        <w:rPr>
          <w:rFonts w:ascii="Times New Roman" w:hAnsi="Times New Roman" w:cs="Times New Roman"/>
          <w:b/>
          <w:caps/>
          <w:sz w:val="28"/>
          <w:szCs w:val="28"/>
        </w:rPr>
        <w:t>и интертекст</w:t>
      </w:r>
      <w:r w:rsidRPr="00982D01">
        <w:rPr>
          <w:rFonts w:ascii="Times New Roman" w:hAnsi="Times New Roman" w:cs="Times New Roman"/>
          <w:b/>
          <w:sz w:val="28"/>
          <w:szCs w:val="28"/>
        </w:rPr>
        <w:t xml:space="preserve"> В СИЛЬНЫХ ТЕКСТОВЫХ ПОЗИЦИЯХ ПОЛИТИЧЕСКОГО МЕДИАДИСКУРСА </w:t>
      </w:r>
    </w:p>
    <w:p w14:paraId="10A88E26" w14:textId="77777777" w:rsidR="00853BFE" w:rsidRPr="00982D01" w:rsidRDefault="00853BFE" w:rsidP="00853BFE">
      <w:pPr>
        <w:spacing w:after="0" w:line="360" w:lineRule="auto"/>
        <w:ind w:firstLine="708"/>
        <w:jc w:val="both"/>
        <w:rPr>
          <w:rFonts w:ascii="Times New Roman" w:hAnsi="Times New Roman" w:cs="Times New Roman"/>
          <w:iCs/>
          <w:sz w:val="28"/>
          <w:szCs w:val="28"/>
        </w:rPr>
      </w:pPr>
      <w:r w:rsidRPr="00982D01">
        <w:rPr>
          <w:rFonts w:ascii="Times New Roman" w:hAnsi="Times New Roman" w:cs="Times New Roman"/>
          <w:iCs/>
          <w:sz w:val="28"/>
          <w:szCs w:val="28"/>
        </w:rPr>
        <w:t xml:space="preserve">В данной статье анализируется контаминированный способ метафоризации заголовочного комплекса в политическом медийном дискурсе. Метафорические модели реализации манипулятивной и прогностической функций заголовка как сильной позиции текста рассматриваются как комплексные образования, включающие элементы интертекстуальности и </w:t>
      </w:r>
      <w:proofErr w:type="spellStart"/>
      <w:r w:rsidRPr="00982D01">
        <w:rPr>
          <w:rFonts w:ascii="Times New Roman" w:hAnsi="Times New Roman" w:cs="Times New Roman"/>
          <w:iCs/>
          <w:sz w:val="28"/>
          <w:szCs w:val="28"/>
        </w:rPr>
        <w:t>прецедентности</w:t>
      </w:r>
      <w:proofErr w:type="spellEnd"/>
      <w:r w:rsidRPr="00982D01">
        <w:rPr>
          <w:rFonts w:ascii="Times New Roman" w:hAnsi="Times New Roman" w:cs="Times New Roman"/>
          <w:iCs/>
          <w:sz w:val="28"/>
          <w:szCs w:val="28"/>
        </w:rPr>
        <w:t xml:space="preserve">. В исследовании рассматриваются различные способы интенсификации и </w:t>
      </w:r>
      <w:proofErr w:type="spellStart"/>
      <w:r w:rsidRPr="00982D01">
        <w:rPr>
          <w:rFonts w:ascii="Times New Roman" w:hAnsi="Times New Roman" w:cs="Times New Roman"/>
          <w:iCs/>
          <w:sz w:val="28"/>
          <w:szCs w:val="28"/>
        </w:rPr>
        <w:t>интимизации</w:t>
      </w:r>
      <w:proofErr w:type="spellEnd"/>
      <w:r w:rsidRPr="00982D01">
        <w:rPr>
          <w:rFonts w:ascii="Times New Roman" w:hAnsi="Times New Roman" w:cs="Times New Roman"/>
          <w:iCs/>
          <w:sz w:val="28"/>
          <w:szCs w:val="28"/>
        </w:rPr>
        <w:t xml:space="preserve"> прецедентных феноменов, используемых в качестве сферы-источника при трансляции авторского аксиологического пространства и формировании векторов интерпретации </w:t>
      </w:r>
      <w:proofErr w:type="spellStart"/>
      <w:r w:rsidRPr="00982D01">
        <w:rPr>
          <w:rFonts w:ascii="Times New Roman" w:hAnsi="Times New Roman" w:cs="Times New Roman"/>
          <w:iCs/>
          <w:sz w:val="28"/>
          <w:szCs w:val="28"/>
        </w:rPr>
        <w:t>метатекстов</w:t>
      </w:r>
      <w:proofErr w:type="spellEnd"/>
      <w:r w:rsidRPr="00982D01">
        <w:rPr>
          <w:rFonts w:ascii="Times New Roman" w:hAnsi="Times New Roman" w:cs="Times New Roman"/>
          <w:iCs/>
          <w:sz w:val="28"/>
          <w:szCs w:val="28"/>
        </w:rPr>
        <w:t xml:space="preserve"> статей политической направленности. Заголовок представляется сжатой </w:t>
      </w:r>
      <w:proofErr w:type="spellStart"/>
      <w:r w:rsidRPr="00982D01">
        <w:rPr>
          <w:rFonts w:ascii="Times New Roman" w:hAnsi="Times New Roman" w:cs="Times New Roman"/>
          <w:iCs/>
          <w:sz w:val="28"/>
          <w:szCs w:val="28"/>
        </w:rPr>
        <w:t>репрезентантой</w:t>
      </w:r>
      <w:proofErr w:type="spellEnd"/>
      <w:r w:rsidRPr="00982D01">
        <w:rPr>
          <w:rFonts w:ascii="Times New Roman" w:hAnsi="Times New Roman" w:cs="Times New Roman"/>
          <w:iCs/>
          <w:sz w:val="28"/>
          <w:szCs w:val="28"/>
        </w:rPr>
        <w:t xml:space="preserve"> объективной и рефлексивной прогностики, направляющей восприятие целостного текста в «нужное» русло. В качестве примеров на основе метода стратифицированной выборки были отобраны заголовки и контексты из авторитетных интернет-изданий «</w:t>
      </w:r>
      <w:r w:rsidRPr="00982D01">
        <w:rPr>
          <w:rFonts w:ascii="Times New Roman" w:hAnsi="Times New Roman" w:cs="Times New Roman"/>
          <w:iCs/>
          <w:sz w:val="28"/>
          <w:szCs w:val="28"/>
          <w:lang w:val="en-US"/>
        </w:rPr>
        <w:t>The</w:t>
      </w:r>
      <w:r w:rsidRPr="00982D01">
        <w:rPr>
          <w:rFonts w:ascii="Times New Roman" w:hAnsi="Times New Roman" w:cs="Times New Roman"/>
          <w:iCs/>
          <w:sz w:val="28"/>
          <w:szCs w:val="28"/>
        </w:rPr>
        <w:t xml:space="preserve"> </w:t>
      </w:r>
      <w:r w:rsidRPr="00982D01">
        <w:rPr>
          <w:rFonts w:ascii="Times New Roman" w:hAnsi="Times New Roman" w:cs="Times New Roman"/>
          <w:iCs/>
          <w:sz w:val="28"/>
          <w:szCs w:val="28"/>
          <w:lang w:val="en-US"/>
        </w:rPr>
        <w:t>Telegraph</w:t>
      </w:r>
      <w:r w:rsidRPr="00982D01">
        <w:rPr>
          <w:rFonts w:ascii="Times New Roman" w:hAnsi="Times New Roman" w:cs="Times New Roman"/>
          <w:iCs/>
          <w:sz w:val="28"/>
          <w:szCs w:val="28"/>
        </w:rPr>
        <w:t>», «</w:t>
      </w:r>
      <w:r w:rsidRPr="00982D01">
        <w:rPr>
          <w:rFonts w:ascii="Times New Roman" w:hAnsi="Times New Roman" w:cs="Times New Roman"/>
          <w:iCs/>
          <w:sz w:val="28"/>
          <w:szCs w:val="28"/>
          <w:lang w:val="en-US"/>
        </w:rPr>
        <w:t>Politico</w:t>
      </w:r>
      <w:r w:rsidRPr="00982D01">
        <w:rPr>
          <w:rFonts w:ascii="Times New Roman" w:hAnsi="Times New Roman" w:cs="Times New Roman"/>
          <w:iCs/>
          <w:sz w:val="28"/>
          <w:szCs w:val="28"/>
        </w:rPr>
        <w:t>», «</w:t>
      </w:r>
      <w:r w:rsidRPr="00982D01">
        <w:rPr>
          <w:rFonts w:ascii="Times New Roman" w:hAnsi="Times New Roman" w:cs="Times New Roman"/>
          <w:iCs/>
          <w:sz w:val="28"/>
          <w:szCs w:val="28"/>
          <w:lang w:val="en-US"/>
        </w:rPr>
        <w:t>The</w:t>
      </w:r>
      <w:r w:rsidRPr="00982D01">
        <w:rPr>
          <w:rFonts w:ascii="Times New Roman" w:hAnsi="Times New Roman" w:cs="Times New Roman"/>
          <w:iCs/>
          <w:sz w:val="28"/>
          <w:szCs w:val="28"/>
        </w:rPr>
        <w:t xml:space="preserve"> </w:t>
      </w:r>
      <w:r w:rsidRPr="00982D01">
        <w:rPr>
          <w:rFonts w:ascii="Times New Roman" w:hAnsi="Times New Roman" w:cs="Times New Roman"/>
          <w:iCs/>
          <w:sz w:val="28"/>
          <w:szCs w:val="28"/>
          <w:lang w:val="en-US"/>
        </w:rPr>
        <w:t>Guardian</w:t>
      </w:r>
      <w:r w:rsidRPr="00982D01">
        <w:rPr>
          <w:rFonts w:ascii="Times New Roman" w:hAnsi="Times New Roman" w:cs="Times New Roman"/>
          <w:iCs/>
          <w:sz w:val="28"/>
          <w:szCs w:val="28"/>
        </w:rPr>
        <w:t xml:space="preserve">», содержащие специфические метафорические аллюзии, основанные на прецедентных ситуациях и высказываниях. Доминирование </w:t>
      </w:r>
      <w:r w:rsidRPr="00982D01">
        <w:rPr>
          <w:rFonts w:ascii="Times New Roman" w:hAnsi="Times New Roman" w:cs="Times New Roman"/>
          <w:iCs/>
          <w:sz w:val="28"/>
          <w:szCs w:val="28"/>
        </w:rPr>
        <w:lastRenderedPageBreak/>
        <w:t xml:space="preserve">той или иной модели метафорического переноса и сохранение реминисценций к конкретному прецедентному феномену в тексте как едином пространстве интерпретации, а также в ряде текстов политического </w:t>
      </w:r>
      <w:proofErr w:type="spellStart"/>
      <w:r w:rsidRPr="00982D01">
        <w:rPr>
          <w:rFonts w:ascii="Times New Roman" w:hAnsi="Times New Roman" w:cs="Times New Roman"/>
          <w:iCs/>
          <w:sz w:val="28"/>
          <w:szCs w:val="28"/>
        </w:rPr>
        <w:t>медиадискурса</w:t>
      </w:r>
      <w:proofErr w:type="spellEnd"/>
      <w:r w:rsidRPr="00982D01">
        <w:rPr>
          <w:rFonts w:ascii="Times New Roman" w:hAnsi="Times New Roman" w:cs="Times New Roman"/>
          <w:iCs/>
          <w:sz w:val="28"/>
          <w:szCs w:val="28"/>
        </w:rPr>
        <w:t xml:space="preserve"> создает некий текстовый универсум или единый нарратив, транслирующий определенный тип восприятия образа и представлений о действиях источника </w:t>
      </w:r>
      <w:proofErr w:type="spellStart"/>
      <w:r w:rsidRPr="00982D01">
        <w:rPr>
          <w:rFonts w:ascii="Times New Roman" w:hAnsi="Times New Roman" w:cs="Times New Roman"/>
          <w:iCs/>
          <w:sz w:val="28"/>
          <w:szCs w:val="28"/>
        </w:rPr>
        <w:t>имиджеформирования</w:t>
      </w:r>
      <w:proofErr w:type="spellEnd"/>
      <w:r w:rsidRPr="00982D01">
        <w:rPr>
          <w:rFonts w:ascii="Times New Roman" w:hAnsi="Times New Roman" w:cs="Times New Roman"/>
          <w:iCs/>
          <w:sz w:val="28"/>
          <w:szCs w:val="28"/>
        </w:rPr>
        <w:t xml:space="preserve"> (политического деятеля). В рамках действия единой модели метафоризации </w:t>
      </w:r>
      <w:proofErr w:type="spellStart"/>
      <w:r w:rsidRPr="00982D01">
        <w:rPr>
          <w:rFonts w:ascii="Times New Roman" w:hAnsi="Times New Roman" w:cs="Times New Roman"/>
          <w:iCs/>
          <w:sz w:val="28"/>
          <w:szCs w:val="28"/>
        </w:rPr>
        <w:t>критериальные</w:t>
      </w:r>
      <w:proofErr w:type="spellEnd"/>
      <w:r w:rsidRPr="00982D01">
        <w:rPr>
          <w:rFonts w:ascii="Times New Roman" w:hAnsi="Times New Roman" w:cs="Times New Roman"/>
          <w:iCs/>
          <w:sz w:val="28"/>
          <w:szCs w:val="28"/>
        </w:rPr>
        <w:t xml:space="preserve"> признаки сферы-источника (ядерные области сравнения) в областях схематизации и </w:t>
      </w:r>
      <w:proofErr w:type="spellStart"/>
      <w:r w:rsidRPr="00982D01">
        <w:rPr>
          <w:rFonts w:ascii="Times New Roman" w:hAnsi="Times New Roman" w:cs="Times New Roman"/>
          <w:iCs/>
          <w:sz w:val="28"/>
          <w:szCs w:val="28"/>
        </w:rPr>
        <w:t>стереотипизации</w:t>
      </w:r>
      <w:proofErr w:type="spellEnd"/>
      <w:r w:rsidRPr="00982D01">
        <w:rPr>
          <w:rFonts w:ascii="Times New Roman" w:hAnsi="Times New Roman" w:cs="Times New Roman"/>
          <w:iCs/>
          <w:sz w:val="28"/>
          <w:szCs w:val="28"/>
        </w:rPr>
        <w:t xml:space="preserve"> восприятия, которые задаются автором в </w:t>
      </w:r>
      <w:proofErr w:type="spellStart"/>
      <w:r w:rsidRPr="00982D01">
        <w:rPr>
          <w:rFonts w:ascii="Times New Roman" w:hAnsi="Times New Roman" w:cs="Times New Roman"/>
          <w:iCs/>
          <w:sz w:val="28"/>
          <w:szCs w:val="28"/>
        </w:rPr>
        <w:t>инкоативных</w:t>
      </w:r>
      <w:proofErr w:type="spellEnd"/>
      <w:r w:rsidRPr="00982D01">
        <w:rPr>
          <w:rFonts w:ascii="Times New Roman" w:hAnsi="Times New Roman" w:cs="Times New Roman"/>
          <w:iCs/>
          <w:sz w:val="28"/>
          <w:szCs w:val="28"/>
        </w:rPr>
        <w:t xml:space="preserve"> компонентах (заглавии), реализуется одновременно несколько видов метафорической интертекстуальности (</w:t>
      </w:r>
      <w:proofErr w:type="spellStart"/>
      <w:r w:rsidRPr="00982D01">
        <w:rPr>
          <w:rFonts w:ascii="Times New Roman" w:hAnsi="Times New Roman" w:cs="Times New Roman"/>
          <w:iCs/>
          <w:sz w:val="28"/>
          <w:szCs w:val="28"/>
        </w:rPr>
        <w:t>паратекстуальность</w:t>
      </w:r>
      <w:proofErr w:type="spellEnd"/>
      <w:r w:rsidRPr="00982D01">
        <w:rPr>
          <w:rFonts w:ascii="Times New Roman" w:hAnsi="Times New Roman" w:cs="Times New Roman"/>
          <w:iCs/>
          <w:sz w:val="28"/>
          <w:szCs w:val="28"/>
        </w:rPr>
        <w:t xml:space="preserve">, </w:t>
      </w:r>
      <w:proofErr w:type="spellStart"/>
      <w:r w:rsidRPr="00982D01">
        <w:rPr>
          <w:rFonts w:ascii="Times New Roman" w:hAnsi="Times New Roman" w:cs="Times New Roman"/>
          <w:iCs/>
          <w:sz w:val="28"/>
          <w:szCs w:val="28"/>
        </w:rPr>
        <w:t>метатекстуальность</w:t>
      </w:r>
      <w:proofErr w:type="spellEnd"/>
      <w:r w:rsidRPr="00982D01">
        <w:rPr>
          <w:rFonts w:ascii="Times New Roman" w:hAnsi="Times New Roman" w:cs="Times New Roman"/>
          <w:iCs/>
          <w:sz w:val="28"/>
          <w:szCs w:val="28"/>
        </w:rPr>
        <w:t xml:space="preserve">, </w:t>
      </w:r>
      <w:proofErr w:type="spellStart"/>
      <w:r w:rsidRPr="00982D01">
        <w:rPr>
          <w:rFonts w:ascii="Times New Roman" w:hAnsi="Times New Roman" w:cs="Times New Roman"/>
          <w:iCs/>
          <w:sz w:val="28"/>
          <w:szCs w:val="28"/>
        </w:rPr>
        <w:t>гипертекстуальность</w:t>
      </w:r>
      <w:proofErr w:type="spellEnd"/>
      <w:r w:rsidRPr="00982D01">
        <w:rPr>
          <w:rFonts w:ascii="Times New Roman" w:hAnsi="Times New Roman" w:cs="Times New Roman"/>
          <w:iCs/>
          <w:sz w:val="28"/>
          <w:szCs w:val="28"/>
        </w:rPr>
        <w:t xml:space="preserve">, </w:t>
      </w:r>
      <w:proofErr w:type="spellStart"/>
      <w:r w:rsidRPr="00982D01">
        <w:rPr>
          <w:rFonts w:ascii="Times New Roman" w:hAnsi="Times New Roman" w:cs="Times New Roman"/>
          <w:iCs/>
          <w:sz w:val="28"/>
          <w:szCs w:val="28"/>
        </w:rPr>
        <w:t>архитекстуальность</w:t>
      </w:r>
      <w:proofErr w:type="spellEnd"/>
      <w:r w:rsidRPr="00982D01">
        <w:rPr>
          <w:rFonts w:ascii="Times New Roman" w:hAnsi="Times New Roman" w:cs="Times New Roman"/>
          <w:iCs/>
          <w:sz w:val="28"/>
          <w:szCs w:val="28"/>
        </w:rPr>
        <w:t xml:space="preserve">). </w:t>
      </w:r>
      <w:proofErr w:type="spellStart"/>
      <w:r w:rsidRPr="00982D01">
        <w:rPr>
          <w:rFonts w:ascii="Times New Roman" w:hAnsi="Times New Roman" w:cs="Times New Roman"/>
          <w:iCs/>
          <w:sz w:val="28"/>
          <w:szCs w:val="28"/>
        </w:rPr>
        <w:t>Метафорика</w:t>
      </w:r>
      <w:proofErr w:type="spellEnd"/>
      <w:r w:rsidRPr="00982D01">
        <w:rPr>
          <w:rFonts w:ascii="Times New Roman" w:hAnsi="Times New Roman" w:cs="Times New Roman"/>
          <w:iCs/>
          <w:sz w:val="28"/>
          <w:szCs w:val="28"/>
        </w:rPr>
        <w:t xml:space="preserve"> и интертекстуальность в заголовке играет ключевую роль в прогнозировании восприятия и интерпретации дальнейшего текста, что создает широкие возможности вербализации субъективных оценок описываемого события и обладает наибольшим потенциалом рефлексивной верификации и дальнейшей легитимизации авторской субъективной аксиологической шкалы. На основе комплексной метафоризации у широкого круга читателей формируется иллюзия подкрепления транслируемых </w:t>
      </w:r>
      <w:proofErr w:type="spellStart"/>
      <w:r w:rsidRPr="00982D01">
        <w:rPr>
          <w:rFonts w:ascii="Times New Roman" w:hAnsi="Times New Roman" w:cs="Times New Roman"/>
          <w:iCs/>
          <w:sz w:val="28"/>
          <w:szCs w:val="28"/>
        </w:rPr>
        <w:t>аксиологем</w:t>
      </w:r>
      <w:proofErr w:type="spellEnd"/>
      <w:r w:rsidRPr="00982D01">
        <w:rPr>
          <w:rFonts w:ascii="Times New Roman" w:hAnsi="Times New Roman" w:cs="Times New Roman"/>
          <w:iCs/>
          <w:sz w:val="28"/>
          <w:szCs w:val="28"/>
        </w:rPr>
        <w:t xml:space="preserve"> подавляющим большинством представителей </w:t>
      </w:r>
      <w:proofErr w:type="spellStart"/>
      <w:r w:rsidRPr="00982D01">
        <w:rPr>
          <w:rFonts w:ascii="Times New Roman" w:hAnsi="Times New Roman" w:cs="Times New Roman"/>
          <w:iCs/>
          <w:sz w:val="28"/>
          <w:szCs w:val="28"/>
        </w:rPr>
        <w:t>лингвокультурного</w:t>
      </w:r>
      <w:proofErr w:type="spellEnd"/>
      <w:r w:rsidRPr="00982D01">
        <w:rPr>
          <w:rFonts w:ascii="Times New Roman" w:hAnsi="Times New Roman" w:cs="Times New Roman"/>
          <w:iCs/>
          <w:sz w:val="28"/>
          <w:szCs w:val="28"/>
        </w:rPr>
        <w:t xml:space="preserve"> сообщества, а также впечатление описания собственных мыслей реципиента.</w:t>
      </w:r>
    </w:p>
    <w:p w14:paraId="2D620852" w14:textId="77777777" w:rsidR="00853BFE" w:rsidRDefault="00853BFE" w:rsidP="00853BFE">
      <w:pPr>
        <w:spacing w:line="360" w:lineRule="auto"/>
        <w:ind w:firstLine="708"/>
        <w:jc w:val="both"/>
        <w:rPr>
          <w:rFonts w:ascii="Times New Roman" w:hAnsi="Times New Roman" w:cs="Times New Roman"/>
          <w:iCs/>
          <w:sz w:val="28"/>
          <w:szCs w:val="28"/>
        </w:rPr>
      </w:pPr>
      <w:r w:rsidRPr="00982D01">
        <w:rPr>
          <w:rFonts w:ascii="Times New Roman" w:hAnsi="Times New Roman" w:cs="Times New Roman"/>
          <w:b/>
          <w:iCs/>
          <w:sz w:val="28"/>
          <w:szCs w:val="28"/>
        </w:rPr>
        <w:t>Ключевые слова</w:t>
      </w:r>
      <w:r w:rsidRPr="00982D01">
        <w:rPr>
          <w:rFonts w:ascii="Times New Roman" w:hAnsi="Times New Roman" w:cs="Times New Roman"/>
          <w:iCs/>
          <w:sz w:val="28"/>
          <w:szCs w:val="28"/>
        </w:rPr>
        <w:t xml:space="preserve">: метафора, интертекстуальность, прецедентные феномены, политический </w:t>
      </w:r>
      <w:proofErr w:type="spellStart"/>
      <w:r w:rsidRPr="00982D01">
        <w:rPr>
          <w:rFonts w:ascii="Times New Roman" w:hAnsi="Times New Roman" w:cs="Times New Roman"/>
          <w:iCs/>
          <w:sz w:val="28"/>
          <w:szCs w:val="28"/>
        </w:rPr>
        <w:t>медиадискурс</w:t>
      </w:r>
      <w:proofErr w:type="spellEnd"/>
      <w:r w:rsidRPr="00982D01">
        <w:rPr>
          <w:rFonts w:ascii="Times New Roman" w:hAnsi="Times New Roman" w:cs="Times New Roman"/>
          <w:iCs/>
          <w:sz w:val="28"/>
          <w:szCs w:val="28"/>
        </w:rPr>
        <w:t xml:space="preserve">, векторы интерпретации, </w:t>
      </w:r>
      <w:proofErr w:type="spellStart"/>
      <w:r w:rsidRPr="00982D01">
        <w:rPr>
          <w:rFonts w:ascii="Times New Roman" w:hAnsi="Times New Roman" w:cs="Times New Roman"/>
          <w:iCs/>
          <w:sz w:val="28"/>
          <w:szCs w:val="28"/>
        </w:rPr>
        <w:t>эмотивность</w:t>
      </w:r>
      <w:proofErr w:type="spellEnd"/>
      <w:r w:rsidRPr="00982D01">
        <w:rPr>
          <w:rFonts w:ascii="Times New Roman" w:hAnsi="Times New Roman" w:cs="Times New Roman"/>
          <w:iCs/>
          <w:sz w:val="28"/>
          <w:szCs w:val="28"/>
        </w:rPr>
        <w:t xml:space="preserve">, сильные позиции текста. </w:t>
      </w:r>
    </w:p>
    <w:p w14:paraId="24E5F454" w14:textId="77777777" w:rsidR="00853BFE" w:rsidRPr="00982D01" w:rsidRDefault="00853BFE" w:rsidP="00853BFE">
      <w:pPr>
        <w:spacing w:after="0" w:line="360" w:lineRule="auto"/>
        <w:jc w:val="right"/>
        <w:rPr>
          <w:rFonts w:ascii="Times New Roman" w:hAnsi="Times New Roman"/>
          <w:b/>
          <w:sz w:val="28"/>
          <w:szCs w:val="28"/>
          <w:shd w:val="clear" w:color="auto" w:fill="FFFFFF"/>
          <w:lang w:val="en-US"/>
        </w:rPr>
      </w:pPr>
      <w:proofErr w:type="spellStart"/>
      <w:r w:rsidRPr="00982D01">
        <w:rPr>
          <w:rFonts w:ascii="Times New Roman" w:hAnsi="Times New Roman"/>
          <w:b/>
          <w:sz w:val="28"/>
          <w:szCs w:val="28"/>
          <w:shd w:val="clear" w:color="auto" w:fill="FFFFFF"/>
          <w:lang w:val="en-US"/>
        </w:rPr>
        <w:t>Valeriya</w:t>
      </w:r>
      <w:proofErr w:type="spellEnd"/>
      <w:r w:rsidRPr="00982D01">
        <w:rPr>
          <w:rFonts w:ascii="Times New Roman" w:hAnsi="Times New Roman"/>
          <w:b/>
          <w:sz w:val="28"/>
          <w:szCs w:val="28"/>
          <w:shd w:val="clear" w:color="auto" w:fill="FFFFFF"/>
          <w:lang w:val="en-US"/>
        </w:rPr>
        <w:t xml:space="preserve"> O. </w:t>
      </w:r>
      <w:proofErr w:type="spellStart"/>
      <w:r w:rsidRPr="00982D01">
        <w:rPr>
          <w:rFonts w:ascii="Times New Roman" w:hAnsi="Times New Roman"/>
          <w:b/>
          <w:sz w:val="28"/>
          <w:szCs w:val="28"/>
          <w:shd w:val="clear" w:color="auto" w:fill="FFFFFF"/>
          <w:lang w:val="en-US"/>
        </w:rPr>
        <w:t>Pareshneva</w:t>
      </w:r>
      <w:proofErr w:type="spellEnd"/>
      <w:r w:rsidRPr="00982D01">
        <w:rPr>
          <w:rFonts w:ascii="Times New Roman" w:hAnsi="Times New Roman"/>
          <w:b/>
          <w:sz w:val="28"/>
          <w:szCs w:val="28"/>
          <w:shd w:val="clear" w:color="auto" w:fill="FFFFFF"/>
          <w:lang w:val="en-US"/>
        </w:rPr>
        <w:t xml:space="preserve"> </w:t>
      </w:r>
    </w:p>
    <w:p w14:paraId="24DAF962" w14:textId="77777777" w:rsidR="00853BFE" w:rsidRPr="00982D01" w:rsidRDefault="00853BFE" w:rsidP="00853BFE">
      <w:pPr>
        <w:spacing w:line="360" w:lineRule="auto"/>
        <w:jc w:val="center"/>
        <w:rPr>
          <w:rFonts w:ascii="Times New Roman" w:hAnsi="Times New Roman" w:cs="Times New Roman"/>
          <w:b/>
          <w:sz w:val="28"/>
          <w:szCs w:val="28"/>
          <w:lang w:val="en-US"/>
        </w:rPr>
      </w:pPr>
      <w:r w:rsidRPr="00982D01">
        <w:rPr>
          <w:rFonts w:ascii="Times New Roman" w:hAnsi="Times New Roman" w:cs="Times New Roman"/>
          <w:b/>
          <w:sz w:val="28"/>
          <w:szCs w:val="28"/>
          <w:lang w:val="en-US"/>
        </w:rPr>
        <w:t>METAPHORIC</w:t>
      </w:r>
      <w:r w:rsidRPr="00982D01">
        <w:rPr>
          <w:rFonts w:ascii="Times New Roman" w:hAnsi="Times New Roman" w:cs="Times New Roman"/>
          <w:b/>
          <w:caps/>
          <w:sz w:val="28"/>
          <w:szCs w:val="28"/>
          <w:lang w:val="en-US"/>
        </w:rPr>
        <w:t>s and intertexts</w:t>
      </w:r>
      <w:r w:rsidRPr="00982D01">
        <w:rPr>
          <w:rFonts w:ascii="Times New Roman" w:hAnsi="Times New Roman" w:cs="Times New Roman"/>
          <w:b/>
          <w:sz w:val="28"/>
          <w:szCs w:val="28"/>
          <w:lang w:val="en-US"/>
        </w:rPr>
        <w:t xml:space="preserve"> IN THE KEY TEXT POSITIONS OF POLITICAL MEDIA DISCOURSE</w:t>
      </w:r>
    </w:p>
    <w:p w14:paraId="7F9DE749" w14:textId="77777777" w:rsidR="00853BFE" w:rsidRPr="00982D01" w:rsidRDefault="00853BFE" w:rsidP="00853BFE">
      <w:pPr>
        <w:shd w:val="clear" w:color="auto" w:fill="FFFFFF"/>
        <w:spacing w:after="0" w:line="360" w:lineRule="auto"/>
        <w:ind w:firstLine="708"/>
        <w:jc w:val="both"/>
        <w:rPr>
          <w:rFonts w:ascii="Times New Roman" w:eastAsia="Times New Roman" w:hAnsi="Times New Roman"/>
          <w:color w:val="000000"/>
          <w:sz w:val="28"/>
          <w:szCs w:val="28"/>
          <w:lang w:val="en-US"/>
        </w:rPr>
      </w:pPr>
      <w:r w:rsidRPr="00982D01">
        <w:rPr>
          <w:rFonts w:ascii="Times New Roman" w:eastAsia="Times New Roman" w:hAnsi="Times New Roman"/>
          <w:color w:val="000000"/>
          <w:sz w:val="28"/>
          <w:szCs w:val="28"/>
          <w:lang w:val="en-US"/>
        </w:rPr>
        <w:t xml:space="preserve">This article offers an analysis of the contaminated method of metaphorization for the headline set within the political media discourse. Metaphorical models of </w:t>
      </w:r>
      <w:r w:rsidRPr="00982D01">
        <w:rPr>
          <w:rFonts w:ascii="Times New Roman" w:eastAsia="Times New Roman" w:hAnsi="Times New Roman"/>
          <w:color w:val="000000"/>
          <w:sz w:val="28"/>
          <w:szCs w:val="28"/>
          <w:lang w:val="en-US"/>
        </w:rPr>
        <w:lastRenderedPageBreak/>
        <w:t>implementing the manipulative and predictive functions of the title viewed as a strong position of the text are considered as complex formations including intertextuality and precedent elements. The study examines various ways that serve to intensify and improve precedent phenomena used as a source-sphere in translating the author’s axiological space and shaping vectors of interpretation for political articles metatext.</w:t>
      </w:r>
    </w:p>
    <w:p w14:paraId="67BECEAF" w14:textId="77777777" w:rsidR="00853BFE" w:rsidRPr="00982D01" w:rsidRDefault="00853BFE" w:rsidP="00853BFE">
      <w:pPr>
        <w:shd w:val="clear" w:color="auto" w:fill="FFFFFF"/>
        <w:spacing w:after="0" w:line="360" w:lineRule="auto"/>
        <w:ind w:firstLine="708"/>
        <w:jc w:val="both"/>
        <w:rPr>
          <w:rFonts w:ascii="Times New Roman" w:eastAsia="Times New Roman" w:hAnsi="Times New Roman"/>
          <w:color w:val="000000"/>
          <w:sz w:val="28"/>
          <w:szCs w:val="28"/>
          <w:lang w:val="en-US"/>
        </w:rPr>
      </w:pPr>
      <w:r w:rsidRPr="00982D01">
        <w:rPr>
          <w:rFonts w:ascii="Times New Roman" w:eastAsia="Times New Roman" w:hAnsi="Times New Roman"/>
          <w:color w:val="000000"/>
          <w:sz w:val="28"/>
          <w:szCs w:val="28"/>
          <w:lang w:val="en-US"/>
        </w:rPr>
        <w:t>The headline is a brief representation of objective and reflexive prognostics, which steers the “correct” perception of the entire text. The examples are based on the method of stratified sampling, with headlines and contexts from recognized online issues “The Telegraph”, “Politico”, “The Guardian” selected, which contain specific metaphorical allusions based on precedent situations and statements. The dominance of a certain metaphorical transference model and the preservation of reminiscences to a specific precedent phenomenon within the text seen as a single interpretation space, as well as in a number of political media discourse texts creates a textual universe or a single narrative that translates a certain type of perception of the image and ideas concerning the actions of the image formation source (political figure).</w:t>
      </w:r>
    </w:p>
    <w:p w14:paraId="1E0BF075" w14:textId="77777777" w:rsidR="00853BFE" w:rsidRPr="00982D01" w:rsidRDefault="00853BFE" w:rsidP="00853BFE">
      <w:pPr>
        <w:shd w:val="clear" w:color="auto" w:fill="FFFFFF"/>
        <w:spacing w:after="0" w:line="360" w:lineRule="auto"/>
        <w:ind w:firstLine="708"/>
        <w:jc w:val="both"/>
        <w:rPr>
          <w:rFonts w:ascii="Times New Roman" w:eastAsia="Times New Roman" w:hAnsi="Times New Roman"/>
          <w:color w:val="000000"/>
          <w:sz w:val="28"/>
          <w:szCs w:val="28"/>
          <w:lang w:val="en-US"/>
        </w:rPr>
      </w:pPr>
      <w:r w:rsidRPr="00982D01">
        <w:rPr>
          <w:rFonts w:ascii="Times New Roman" w:eastAsia="Times New Roman" w:hAnsi="Times New Roman"/>
          <w:color w:val="000000"/>
          <w:sz w:val="28"/>
          <w:szCs w:val="28"/>
          <w:lang w:val="en-US"/>
        </w:rPr>
        <w:t xml:space="preserve">Within the unified metaphorization model, the criteria </w:t>
      </w:r>
      <w:proofErr w:type="gramStart"/>
      <w:r w:rsidRPr="00982D01">
        <w:rPr>
          <w:rFonts w:ascii="Times New Roman" w:eastAsia="Times New Roman" w:hAnsi="Times New Roman"/>
          <w:color w:val="000000"/>
          <w:sz w:val="28"/>
          <w:szCs w:val="28"/>
          <w:lang w:val="en-US"/>
        </w:rPr>
        <w:t>features</w:t>
      </w:r>
      <w:proofErr w:type="gramEnd"/>
      <w:r w:rsidRPr="00982D01">
        <w:rPr>
          <w:rFonts w:ascii="Times New Roman" w:eastAsia="Times New Roman" w:hAnsi="Times New Roman"/>
          <w:color w:val="000000"/>
          <w:sz w:val="28"/>
          <w:szCs w:val="28"/>
          <w:lang w:val="en-US"/>
        </w:rPr>
        <w:t xml:space="preserve"> of the source-sphere (nuclear areas of comparison) in the areas of schematization and </w:t>
      </w:r>
      <w:proofErr w:type="spellStart"/>
      <w:r w:rsidRPr="00982D01">
        <w:rPr>
          <w:rFonts w:ascii="Times New Roman" w:eastAsia="Times New Roman" w:hAnsi="Times New Roman"/>
          <w:color w:val="000000"/>
          <w:sz w:val="28"/>
          <w:szCs w:val="28"/>
          <w:lang w:val="en-US"/>
        </w:rPr>
        <w:t>stereotypization</w:t>
      </w:r>
      <w:proofErr w:type="spellEnd"/>
      <w:r w:rsidRPr="00982D01">
        <w:rPr>
          <w:rFonts w:ascii="Times New Roman" w:eastAsia="Times New Roman" w:hAnsi="Times New Roman"/>
          <w:color w:val="000000"/>
          <w:sz w:val="28"/>
          <w:szCs w:val="28"/>
          <w:lang w:val="en-US"/>
        </w:rPr>
        <w:t xml:space="preserve"> of perception, as set by the author in the </w:t>
      </w:r>
      <w:proofErr w:type="spellStart"/>
      <w:r w:rsidRPr="00982D01">
        <w:rPr>
          <w:rFonts w:ascii="Times New Roman" w:eastAsia="Times New Roman" w:hAnsi="Times New Roman"/>
          <w:color w:val="000000"/>
          <w:sz w:val="28"/>
          <w:szCs w:val="28"/>
          <w:lang w:val="en-US"/>
        </w:rPr>
        <w:t>incoative</w:t>
      </w:r>
      <w:proofErr w:type="spellEnd"/>
      <w:r w:rsidRPr="00982D01">
        <w:rPr>
          <w:rFonts w:ascii="Times New Roman" w:eastAsia="Times New Roman" w:hAnsi="Times New Roman"/>
          <w:color w:val="000000"/>
          <w:sz w:val="28"/>
          <w:szCs w:val="28"/>
          <w:lang w:val="en-US"/>
        </w:rPr>
        <w:t xml:space="preserve"> components (title), there are several types of metaphorical intertextuality (paratextuality, metatextuality, </w:t>
      </w:r>
      <w:proofErr w:type="spellStart"/>
      <w:r w:rsidRPr="00982D01">
        <w:rPr>
          <w:rFonts w:ascii="Times New Roman" w:eastAsia="Times New Roman" w:hAnsi="Times New Roman"/>
          <w:color w:val="000000"/>
          <w:sz w:val="28"/>
          <w:szCs w:val="28"/>
          <w:lang w:val="en-US"/>
        </w:rPr>
        <w:t>hypertextuality</w:t>
      </w:r>
      <w:proofErr w:type="spellEnd"/>
      <w:r w:rsidRPr="00982D01">
        <w:rPr>
          <w:rFonts w:ascii="Times New Roman" w:eastAsia="Times New Roman" w:hAnsi="Times New Roman"/>
          <w:color w:val="000000"/>
          <w:sz w:val="28"/>
          <w:szCs w:val="28"/>
          <w:lang w:val="en-US"/>
        </w:rPr>
        <w:t xml:space="preserve">, </w:t>
      </w:r>
      <w:proofErr w:type="spellStart"/>
      <w:r w:rsidRPr="00982D01">
        <w:rPr>
          <w:rFonts w:ascii="Times New Roman" w:eastAsia="Times New Roman" w:hAnsi="Times New Roman"/>
          <w:color w:val="000000"/>
          <w:sz w:val="28"/>
          <w:szCs w:val="28"/>
          <w:lang w:val="en-US"/>
        </w:rPr>
        <w:t>architectuality</w:t>
      </w:r>
      <w:proofErr w:type="spellEnd"/>
      <w:r w:rsidRPr="00982D01">
        <w:rPr>
          <w:rFonts w:ascii="Times New Roman" w:eastAsia="Times New Roman" w:hAnsi="Times New Roman"/>
          <w:color w:val="000000"/>
          <w:sz w:val="28"/>
          <w:szCs w:val="28"/>
          <w:lang w:val="en-US"/>
        </w:rPr>
        <w:t>) implemented simultaneously.</w:t>
      </w:r>
    </w:p>
    <w:p w14:paraId="4B148D06" w14:textId="77777777" w:rsidR="00853BFE" w:rsidRPr="00982D01" w:rsidRDefault="00853BFE" w:rsidP="00853BFE">
      <w:pPr>
        <w:shd w:val="clear" w:color="auto" w:fill="FFFFFF"/>
        <w:spacing w:after="0" w:line="360" w:lineRule="auto"/>
        <w:ind w:firstLine="708"/>
        <w:jc w:val="both"/>
        <w:rPr>
          <w:rFonts w:ascii="Times New Roman" w:eastAsia="Times New Roman" w:hAnsi="Times New Roman"/>
          <w:color w:val="000000"/>
          <w:sz w:val="28"/>
          <w:szCs w:val="28"/>
          <w:lang w:val="en-US"/>
        </w:rPr>
      </w:pPr>
      <w:proofErr w:type="spellStart"/>
      <w:r w:rsidRPr="00982D01">
        <w:rPr>
          <w:rFonts w:ascii="Times New Roman" w:eastAsia="Times New Roman" w:hAnsi="Times New Roman"/>
          <w:color w:val="000000"/>
          <w:sz w:val="28"/>
          <w:szCs w:val="28"/>
          <w:lang w:val="en-US"/>
        </w:rPr>
        <w:t>Metaphorics</w:t>
      </w:r>
      <w:proofErr w:type="spellEnd"/>
      <w:r w:rsidRPr="00982D01">
        <w:rPr>
          <w:rFonts w:ascii="Times New Roman" w:eastAsia="Times New Roman" w:hAnsi="Times New Roman"/>
          <w:color w:val="000000"/>
          <w:sz w:val="28"/>
          <w:szCs w:val="28"/>
          <w:lang w:val="en-US"/>
        </w:rPr>
        <w:t xml:space="preserve"> and intertextuality in headlines play a key role in forecasting the perception and the interpretation of the following text, which offers ample opportunities to verbalize subjective evaluation of the described event and has the greatest potential for reflexive verification and further legitimization of the author’s subjective axiological scale. Complex metaphorization offers a basis for a wide range of readers to shape an illusion of reinforcement of the </w:t>
      </w:r>
      <w:proofErr w:type="spellStart"/>
      <w:r w:rsidRPr="00982D01">
        <w:rPr>
          <w:rFonts w:ascii="Times New Roman" w:eastAsia="Times New Roman" w:hAnsi="Times New Roman"/>
          <w:color w:val="000000"/>
          <w:sz w:val="28"/>
          <w:szCs w:val="28"/>
          <w:lang w:val="en-US"/>
        </w:rPr>
        <w:t>axiologems</w:t>
      </w:r>
      <w:proofErr w:type="spellEnd"/>
      <w:r w:rsidRPr="00982D01">
        <w:rPr>
          <w:rFonts w:ascii="Times New Roman" w:eastAsia="Times New Roman" w:hAnsi="Times New Roman"/>
          <w:color w:val="000000"/>
          <w:sz w:val="28"/>
          <w:szCs w:val="28"/>
          <w:lang w:val="en-US"/>
        </w:rPr>
        <w:t xml:space="preserve"> broadcast by the greater majority of members of a linguo-cultural community, as well as an impression of describing the recipient’s own thoughts.</w:t>
      </w:r>
    </w:p>
    <w:p w14:paraId="6E72F4D2" w14:textId="77777777" w:rsidR="00853BFE" w:rsidRPr="00982D01" w:rsidRDefault="00853BFE" w:rsidP="00853BFE">
      <w:pPr>
        <w:spacing w:after="0" w:line="360" w:lineRule="auto"/>
        <w:ind w:firstLine="708"/>
        <w:jc w:val="both"/>
        <w:rPr>
          <w:rFonts w:ascii="Times New Roman" w:hAnsi="Times New Roman" w:cs="Times New Roman"/>
          <w:b/>
          <w:iCs/>
          <w:sz w:val="28"/>
          <w:szCs w:val="28"/>
          <w:highlight w:val="white"/>
          <w:lang w:val="en-US"/>
        </w:rPr>
      </w:pPr>
      <w:r w:rsidRPr="00982D01">
        <w:rPr>
          <w:rFonts w:ascii="Times New Roman" w:hAnsi="Times New Roman" w:cs="Times New Roman"/>
          <w:b/>
          <w:iCs/>
          <w:sz w:val="28"/>
          <w:szCs w:val="28"/>
          <w:highlight w:val="white"/>
          <w:lang w:val="en-US"/>
        </w:rPr>
        <w:lastRenderedPageBreak/>
        <w:t xml:space="preserve">Key words: </w:t>
      </w:r>
      <w:r w:rsidRPr="00982D01">
        <w:rPr>
          <w:rFonts w:ascii="Times New Roman" w:eastAsia="Times New Roman" w:hAnsi="Times New Roman"/>
          <w:iCs/>
          <w:color w:val="000000"/>
          <w:sz w:val="28"/>
          <w:szCs w:val="28"/>
          <w:lang w:val="en-US"/>
        </w:rPr>
        <w:t>metaphor, intertextuality, precedent phenomena, political media discourse, interpretation vectors, emotivity, strong positions of the text.</w:t>
      </w:r>
    </w:p>
    <w:p w14:paraId="4B270DBB" w14:textId="77777777" w:rsidR="00853BFE" w:rsidRDefault="00853BFE" w:rsidP="00853BFE">
      <w:pPr>
        <w:spacing w:after="0" w:line="360" w:lineRule="auto"/>
        <w:ind w:firstLine="709"/>
        <w:jc w:val="both"/>
        <w:rPr>
          <w:rFonts w:ascii="Times New Roman" w:hAnsi="Times New Roman" w:cs="Times New Roman"/>
          <w:sz w:val="28"/>
          <w:szCs w:val="28"/>
          <w:lang w:val="en-US"/>
        </w:rPr>
      </w:pPr>
    </w:p>
    <w:p w14:paraId="6F8DDA13" w14:textId="77777777" w:rsidR="00853BFE" w:rsidRPr="00982D01" w:rsidRDefault="00853BFE" w:rsidP="00853BFE">
      <w:pPr>
        <w:shd w:val="clear" w:color="auto" w:fill="FFFFFF"/>
        <w:spacing w:after="0" w:line="360" w:lineRule="auto"/>
        <w:ind w:firstLineChars="253" w:firstLine="711"/>
        <w:jc w:val="both"/>
        <w:rPr>
          <w:rFonts w:ascii="Times New Roman" w:eastAsia="Times New Roman" w:hAnsi="Times New Roman" w:cs="Times New Roman"/>
          <w:b/>
          <w:bCs/>
          <w:color w:val="000000"/>
          <w:sz w:val="28"/>
          <w:szCs w:val="28"/>
          <w:lang w:eastAsia="ru-RU"/>
        </w:rPr>
      </w:pPr>
      <w:r w:rsidRPr="00982D01">
        <w:rPr>
          <w:rFonts w:ascii="Times New Roman" w:eastAsia="Times New Roman" w:hAnsi="Times New Roman" w:cs="Times New Roman"/>
          <w:b/>
          <w:bCs/>
          <w:color w:val="000000"/>
          <w:sz w:val="28"/>
          <w:szCs w:val="28"/>
          <w:lang w:eastAsia="ru-RU"/>
        </w:rPr>
        <w:t>УДК 81.255</w:t>
      </w:r>
    </w:p>
    <w:p w14:paraId="2FF40BDB" w14:textId="77777777" w:rsidR="00853BFE" w:rsidRDefault="00853BFE" w:rsidP="00853BFE">
      <w:pPr>
        <w:shd w:val="clear" w:color="auto" w:fill="FFFFFF"/>
        <w:spacing w:after="0" w:line="360" w:lineRule="auto"/>
        <w:ind w:firstLineChars="253" w:firstLine="711"/>
        <w:jc w:val="right"/>
        <w:rPr>
          <w:rFonts w:ascii="Times New Roman" w:eastAsia="Times New Roman" w:hAnsi="Times New Roman" w:cs="Times New Roman"/>
          <w:b/>
          <w:bCs/>
          <w:color w:val="000000"/>
          <w:sz w:val="28"/>
          <w:szCs w:val="28"/>
          <w:lang w:eastAsia="ru-RU"/>
        </w:rPr>
      </w:pPr>
      <w:r w:rsidRPr="008E229C">
        <w:rPr>
          <w:rFonts w:ascii="Times New Roman" w:eastAsia="Times New Roman" w:hAnsi="Times New Roman" w:cs="Times New Roman"/>
          <w:b/>
          <w:bCs/>
          <w:color w:val="000000"/>
          <w:sz w:val="28"/>
          <w:szCs w:val="28"/>
          <w:lang w:eastAsia="ru-RU"/>
        </w:rPr>
        <w:t>http://doi.org/10.37493/2409-1030.2022.2.23</w:t>
      </w:r>
    </w:p>
    <w:p w14:paraId="40779B43" w14:textId="77777777" w:rsidR="00853BFE" w:rsidRPr="00982D01" w:rsidRDefault="00853BFE" w:rsidP="00853BFE">
      <w:pPr>
        <w:shd w:val="clear" w:color="auto" w:fill="FFFFFF"/>
        <w:spacing w:after="0" w:line="360" w:lineRule="auto"/>
        <w:ind w:firstLineChars="253" w:firstLine="711"/>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Э.</w:t>
      </w:r>
      <w:r w:rsidRPr="00982D01">
        <w:rPr>
          <w:rFonts w:ascii="Times New Roman" w:eastAsia="Times New Roman" w:hAnsi="Times New Roman" w:cs="Times New Roman"/>
          <w:b/>
          <w:bCs/>
          <w:color w:val="000000"/>
          <w:sz w:val="28"/>
          <w:szCs w:val="28"/>
          <w:lang w:eastAsia="ru-RU"/>
        </w:rPr>
        <w:t xml:space="preserve">В. </w:t>
      </w:r>
      <w:proofErr w:type="spellStart"/>
      <w:r w:rsidRPr="00982D01">
        <w:rPr>
          <w:rFonts w:ascii="Times New Roman" w:eastAsia="Times New Roman" w:hAnsi="Times New Roman" w:cs="Times New Roman"/>
          <w:b/>
          <w:bCs/>
          <w:color w:val="000000"/>
          <w:sz w:val="28"/>
          <w:szCs w:val="28"/>
          <w:lang w:eastAsia="ru-RU"/>
        </w:rPr>
        <w:t>Пиванова</w:t>
      </w:r>
      <w:proofErr w:type="spellEnd"/>
    </w:p>
    <w:p w14:paraId="478C36DA" w14:textId="77777777" w:rsidR="00853BFE" w:rsidRPr="00982D01" w:rsidRDefault="00853BFE" w:rsidP="00853BFE">
      <w:pPr>
        <w:spacing w:after="0" w:line="360" w:lineRule="auto"/>
        <w:ind w:firstLineChars="253" w:firstLine="711"/>
        <w:jc w:val="center"/>
        <w:rPr>
          <w:rFonts w:ascii="Times New Roman" w:eastAsia="Times New Roman" w:hAnsi="Times New Roman" w:cs="Calibri"/>
          <w:b/>
          <w:bCs/>
          <w:color w:val="000011"/>
          <w:sz w:val="28"/>
          <w:szCs w:val="28"/>
          <w:lang w:eastAsia="ru-RU"/>
        </w:rPr>
      </w:pPr>
      <w:r w:rsidRPr="00982D01">
        <w:rPr>
          <w:rFonts w:ascii="Times New Roman" w:eastAsia="Times New Roman" w:hAnsi="Times New Roman" w:cs="Calibri"/>
          <w:b/>
          <w:bCs/>
          <w:color w:val="000011"/>
          <w:sz w:val="28"/>
          <w:szCs w:val="28"/>
          <w:lang w:eastAsia="ru-RU"/>
        </w:rPr>
        <w:t>ТРАНСЛАТОЛОГИЧЕСКАЯ СПЕЦИФИКА ОНЛАЙН-ПУБЛИКАЦИЙ, ПОСВЯЩЕННЫХ ОЦЕНКЕ ЭФФЕКТИВНОСТИ BTL-ТЕХНОЛОГИЙ В АСПЕКТЕ МАРКЕТИНГОВЫХ КОММУНИКАЦИЙ</w:t>
      </w:r>
    </w:p>
    <w:p w14:paraId="6921170B" w14:textId="77777777" w:rsidR="00853BFE" w:rsidRPr="00354EC0" w:rsidRDefault="00853BFE" w:rsidP="00853BFE">
      <w:pPr>
        <w:spacing w:after="0" w:line="360" w:lineRule="auto"/>
        <w:ind w:firstLineChars="253" w:firstLine="708"/>
        <w:jc w:val="both"/>
        <w:rPr>
          <w:rFonts w:ascii="Times New Roman" w:eastAsia="Malgun Gothic" w:hAnsi="Times New Roman" w:cs="Times New Roman"/>
          <w:iCs/>
          <w:color w:val="000000"/>
          <w:sz w:val="28"/>
          <w:szCs w:val="28"/>
          <w:lang w:eastAsia="ru-RU"/>
        </w:rPr>
      </w:pPr>
      <w:r w:rsidRPr="00354EC0">
        <w:rPr>
          <w:rFonts w:ascii="Times New Roman" w:eastAsia="Times New Roman" w:hAnsi="Times New Roman" w:cs="Times New Roman"/>
          <w:iCs/>
          <w:color w:val="000000"/>
          <w:sz w:val="28"/>
          <w:szCs w:val="28"/>
          <w:lang w:eastAsia="ru-RU"/>
        </w:rPr>
        <w:t xml:space="preserve">В статье рассматриваются основные переводческие особенности англоязычных статей предметной области маркетинговых коммуникаций. </w:t>
      </w:r>
      <w:r w:rsidRPr="00354EC0">
        <w:rPr>
          <w:rFonts w:ascii="Times New Roman" w:eastAsia="Malgun Gothic" w:hAnsi="Times New Roman" w:cs="Times New Roman"/>
          <w:iCs/>
          <w:color w:val="000011"/>
          <w:sz w:val="28"/>
          <w:szCs w:val="28"/>
          <w:lang w:eastAsia="ru-RU"/>
        </w:rPr>
        <w:t xml:space="preserve">Актуальность исследования определяется следующими факторами: конъюнктурными потребностями в изучении аутентичных материалов сферы маркетинговых коммуникаций с целью повышения их эффективности; экспансией английского языка в сферы науки и технологии; необходимостью создания универсальной русскоязычной терминосистемы тематической области «маркетинговые технологии». Исследования, посвященные </w:t>
      </w:r>
      <w:proofErr w:type="spellStart"/>
      <w:r w:rsidRPr="00354EC0">
        <w:rPr>
          <w:rFonts w:ascii="Times New Roman" w:eastAsia="Malgun Gothic" w:hAnsi="Times New Roman" w:cs="Times New Roman"/>
          <w:iCs/>
          <w:color w:val="000011"/>
          <w:sz w:val="28"/>
          <w:szCs w:val="28"/>
          <w:lang w:eastAsia="ru-RU"/>
        </w:rPr>
        <w:t>транслатологии</w:t>
      </w:r>
      <w:proofErr w:type="spellEnd"/>
      <w:r w:rsidRPr="00354EC0">
        <w:rPr>
          <w:rFonts w:ascii="Times New Roman" w:eastAsia="Malgun Gothic" w:hAnsi="Times New Roman" w:cs="Times New Roman"/>
          <w:iCs/>
          <w:color w:val="000011"/>
          <w:sz w:val="28"/>
          <w:szCs w:val="28"/>
          <w:lang w:eastAsia="ru-RU"/>
        </w:rPr>
        <w:t xml:space="preserve"> публикаций об оценке эффективности BTL, в доступной литературе отсутствуют. Материалом исследования послужили 4 англоязычные онлайн-публикации, размещенные в открытом доступе в онлайн-версиях международных научных журналов. Цель работы заключается в</w:t>
      </w:r>
      <w:r w:rsidRPr="00354EC0">
        <w:rPr>
          <w:rFonts w:ascii="Times New Roman" w:eastAsia="Malgun Gothic" w:hAnsi="Times New Roman" w:cs="Times New Roman"/>
          <w:b/>
          <w:iCs/>
          <w:color w:val="000011"/>
          <w:sz w:val="28"/>
          <w:szCs w:val="28"/>
          <w:lang w:eastAsia="ru-RU"/>
        </w:rPr>
        <w:t xml:space="preserve"> </w:t>
      </w:r>
      <w:r w:rsidRPr="00354EC0">
        <w:rPr>
          <w:rFonts w:ascii="Times New Roman" w:eastAsia="Malgun Gothic" w:hAnsi="Times New Roman" w:cs="Times New Roman"/>
          <w:iCs/>
          <w:color w:val="000011"/>
          <w:sz w:val="28"/>
          <w:szCs w:val="28"/>
          <w:lang w:eastAsia="ru-RU"/>
        </w:rPr>
        <w:t xml:space="preserve">выявлении особенностей перевода терминологических единиц сферы BTL-коммуникаций, определении возможностей адаптации, проведении анализа переводческих решений при передаче содержания текстов, посвященных оценке эффективности </w:t>
      </w:r>
      <w:r w:rsidRPr="00354EC0">
        <w:rPr>
          <w:rFonts w:ascii="Times New Roman" w:eastAsia="Malgun Gothic" w:hAnsi="Times New Roman" w:cs="Times New Roman"/>
          <w:iCs/>
          <w:color w:val="000011"/>
          <w:sz w:val="28"/>
          <w:szCs w:val="28"/>
          <w:lang w:val="en-US" w:eastAsia="ru-RU"/>
        </w:rPr>
        <w:t>BTL</w:t>
      </w:r>
      <w:r w:rsidRPr="00354EC0">
        <w:rPr>
          <w:rFonts w:ascii="Times New Roman" w:eastAsia="Malgun Gothic" w:hAnsi="Times New Roman" w:cs="Times New Roman"/>
          <w:iCs/>
          <w:color w:val="000011"/>
          <w:sz w:val="28"/>
          <w:szCs w:val="28"/>
          <w:lang w:eastAsia="ru-RU"/>
        </w:rPr>
        <w:t xml:space="preserve">-коммуникаций. В работе были использованы общенаучные методы наблюдения, описания и классификации, лингвистические методы: </w:t>
      </w:r>
      <w:proofErr w:type="spellStart"/>
      <w:r w:rsidRPr="00354EC0">
        <w:rPr>
          <w:rFonts w:ascii="Times New Roman" w:eastAsia="Malgun Gothic" w:hAnsi="Times New Roman" w:cs="Times New Roman"/>
          <w:iCs/>
          <w:color w:val="000011"/>
          <w:sz w:val="28"/>
          <w:szCs w:val="28"/>
          <w:lang w:eastAsia="ru-RU"/>
        </w:rPr>
        <w:t>дефиниционный</w:t>
      </w:r>
      <w:proofErr w:type="spellEnd"/>
      <w:r w:rsidRPr="00354EC0">
        <w:rPr>
          <w:rFonts w:ascii="Times New Roman" w:eastAsia="Malgun Gothic" w:hAnsi="Times New Roman" w:cs="Times New Roman"/>
          <w:iCs/>
          <w:color w:val="000011"/>
          <w:sz w:val="28"/>
          <w:szCs w:val="28"/>
          <w:lang w:eastAsia="ru-RU"/>
        </w:rPr>
        <w:t xml:space="preserve"> метод для уточнения содержания основных понятий; метод сравнительного анализа для сопоставления терминосистем русского и английского языков; лингвостилистический анализ </w:t>
      </w:r>
      <w:r w:rsidRPr="00354EC0">
        <w:rPr>
          <w:rFonts w:ascii="Times New Roman" w:eastAsia="Malgun Gothic" w:hAnsi="Times New Roman" w:cs="Times New Roman"/>
          <w:iCs/>
          <w:color w:val="000011"/>
          <w:sz w:val="28"/>
          <w:szCs w:val="28"/>
          <w:lang w:eastAsia="ru-RU"/>
        </w:rPr>
        <w:lastRenderedPageBreak/>
        <w:t xml:space="preserve">для определения параметров научного текста; </w:t>
      </w:r>
      <w:proofErr w:type="spellStart"/>
      <w:r w:rsidRPr="00354EC0">
        <w:rPr>
          <w:rFonts w:ascii="Times New Roman" w:eastAsia="Malgun Gothic" w:hAnsi="Times New Roman" w:cs="Times New Roman"/>
          <w:iCs/>
          <w:color w:val="000011"/>
          <w:sz w:val="28"/>
          <w:szCs w:val="28"/>
          <w:lang w:eastAsia="ru-RU"/>
        </w:rPr>
        <w:t>транслатологический</w:t>
      </w:r>
      <w:proofErr w:type="spellEnd"/>
      <w:r w:rsidRPr="00354EC0">
        <w:rPr>
          <w:rFonts w:ascii="Times New Roman" w:eastAsia="Malgun Gothic" w:hAnsi="Times New Roman" w:cs="Times New Roman"/>
          <w:iCs/>
          <w:color w:val="000011"/>
          <w:sz w:val="28"/>
          <w:szCs w:val="28"/>
          <w:lang w:eastAsia="ru-RU"/>
        </w:rPr>
        <w:t xml:space="preserve"> анализ для выявления способов перевода единиц исходного текста, сравнительный анализ и метод обобщения и индукции для выделения маркетинговых аспектов оценки эффективности </w:t>
      </w:r>
      <w:r w:rsidRPr="00354EC0">
        <w:rPr>
          <w:rFonts w:ascii="Times New Roman" w:eastAsia="Malgun Gothic" w:hAnsi="Times New Roman" w:cs="Times New Roman"/>
          <w:iCs/>
          <w:color w:val="000011"/>
          <w:sz w:val="28"/>
          <w:szCs w:val="28"/>
          <w:lang w:val="en-US" w:eastAsia="ru-RU"/>
        </w:rPr>
        <w:t>BTL</w:t>
      </w:r>
      <w:r w:rsidRPr="00354EC0">
        <w:rPr>
          <w:rFonts w:ascii="Times New Roman" w:eastAsia="Malgun Gothic" w:hAnsi="Times New Roman" w:cs="Times New Roman"/>
          <w:iCs/>
          <w:color w:val="000011"/>
          <w:sz w:val="28"/>
          <w:szCs w:val="28"/>
          <w:lang w:eastAsia="ru-RU"/>
        </w:rPr>
        <w:t xml:space="preserve">-технологий. Установлено, что </w:t>
      </w:r>
      <w:proofErr w:type="spellStart"/>
      <w:r w:rsidRPr="00354EC0">
        <w:rPr>
          <w:rFonts w:ascii="Times New Roman" w:eastAsia="Malgun Gothic" w:hAnsi="Times New Roman" w:cs="Times New Roman"/>
          <w:iCs/>
          <w:color w:val="000011"/>
          <w:sz w:val="28"/>
          <w:szCs w:val="28"/>
          <w:lang w:eastAsia="ru-RU"/>
        </w:rPr>
        <w:t>т</w:t>
      </w:r>
      <w:r w:rsidRPr="00354EC0">
        <w:rPr>
          <w:rFonts w:ascii="Times New Roman" w:eastAsia="Malgun Gothic" w:hAnsi="Times New Roman" w:cs="Times New Roman"/>
          <w:iCs/>
          <w:color w:val="000000"/>
          <w:sz w:val="28"/>
          <w:szCs w:val="28"/>
          <w:lang w:eastAsia="ru-RU"/>
        </w:rPr>
        <w:t>ранслатологические</w:t>
      </w:r>
      <w:proofErr w:type="spellEnd"/>
      <w:r w:rsidRPr="00354EC0">
        <w:rPr>
          <w:rFonts w:ascii="Times New Roman" w:eastAsia="Malgun Gothic" w:hAnsi="Times New Roman" w:cs="Times New Roman"/>
          <w:iCs/>
          <w:color w:val="000000"/>
          <w:sz w:val="28"/>
          <w:szCs w:val="28"/>
          <w:lang w:eastAsia="ru-RU"/>
        </w:rPr>
        <w:t xml:space="preserve"> особенности онлайн-публикаций, посвященных оценке эффективности BTL-технологий, преимущественно обусловлены спецификой узкоспециальных </w:t>
      </w:r>
      <w:proofErr w:type="spellStart"/>
      <w:r w:rsidRPr="00354EC0">
        <w:rPr>
          <w:rFonts w:ascii="Times New Roman" w:eastAsia="Malgun Gothic" w:hAnsi="Times New Roman" w:cs="Times New Roman"/>
          <w:iCs/>
          <w:color w:val="000000"/>
          <w:sz w:val="28"/>
          <w:szCs w:val="28"/>
          <w:lang w:eastAsia="ru-RU"/>
        </w:rPr>
        <w:t>терминоединиц</w:t>
      </w:r>
      <w:proofErr w:type="spellEnd"/>
      <w:r w:rsidRPr="00354EC0">
        <w:rPr>
          <w:rFonts w:ascii="Times New Roman" w:eastAsia="Malgun Gothic" w:hAnsi="Times New Roman" w:cs="Times New Roman"/>
          <w:iCs/>
          <w:color w:val="000000"/>
          <w:sz w:val="28"/>
          <w:szCs w:val="28"/>
          <w:lang w:eastAsia="ru-RU"/>
        </w:rPr>
        <w:t xml:space="preserve">, составляющих кластерную заимствованную терминосистему. Наличие </w:t>
      </w:r>
      <w:proofErr w:type="spellStart"/>
      <w:r w:rsidRPr="00354EC0">
        <w:rPr>
          <w:rFonts w:ascii="Times New Roman" w:eastAsia="Malgun Gothic" w:hAnsi="Times New Roman" w:cs="Times New Roman"/>
          <w:iCs/>
          <w:color w:val="000000"/>
          <w:sz w:val="28"/>
          <w:szCs w:val="28"/>
          <w:lang w:eastAsia="ru-RU"/>
        </w:rPr>
        <w:t>компрессивной</w:t>
      </w:r>
      <w:proofErr w:type="spellEnd"/>
      <w:r w:rsidRPr="00354EC0">
        <w:rPr>
          <w:rFonts w:ascii="Times New Roman" w:eastAsia="Malgun Gothic" w:hAnsi="Times New Roman" w:cs="Times New Roman"/>
          <w:iCs/>
          <w:color w:val="000000"/>
          <w:sz w:val="28"/>
          <w:szCs w:val="28"/>
          <w:lang w:eastAsia="ru-RU"/>
        </w:rPr>
        <w:t xml:space="preserve"> и адаптивной межъязыковой асимметрии является существенным фактором, который необходимо учитывать в процессе поиска оптимальных переводческих решений при работе с названным типом текста. Выявлены наиболее частотные переводческие трансформации, применимые при передаче различных типов терминологической лексики BTL-сферы.</w:t>
      </w:r>
    </w:p>
    <w:p w14:paraId="357DF6A2" w14:textId="77777777" w:rsidR="00853BFE" w:rsidRDefault="00853BFE" w:rsidP="00853BFE">
      <w:pPr>
        <w:spacing w:after="0" w:line="360" w:lineRule="auto"/>
        <w:ind w:firstLineChars="253" w:firstLine="708"/>
        <w:jc w:val="both"/>
        <w:rPr>
          <w:rFonts w:ascii="Times New Roman" w:eastAsia="Malgun Gothic" w:hAnsi="Times New Roman" w:cs="Times New Roman"/>
          <w:iCs/>
          <w:color w:val="000011"/>
          <w:sz w:val="28"/>
          <w:szCs w:val="28"/>
          <w:lang w:eastAsia="ru-RU"/>
        </w:rPr>
      </w:pPr>
      <w:r w:rsidRPr="00982D01">
        <w:rPr>
          <w:rFonts w:ascii="Times New Roman" w:eastAsia="Malgun Gothic" w:hAnsi="Times New Roman" w:cs="Times New Roman"/>
          <w:b/>
          <w:bCs/>
          <w:color w:val="000000"/>
          <w:sz w:val="28"/>
          <w:szCs w:val="28"/>
          <w:lang w:eastAsia="ru-RU"/>
        </w:rPr>
        <w:t>Ключевые слова</w:t>
      </w:r>
      <w:r w:rsidRPr="00354EC0">
        <w:rPr>
          <w:rFonts w:ascii="Times New Roman" w:eastAsia="Malgun Gothic" w:hAnsi="Times New Roman" w:cs="Times New Roman"/>
          <w:b/>
          <w:bCs/>
          <w:i/>
          <w:color w:val="000000"/>
          <w:sz w:val="28"/>
          <w:szCs w:val="28"/>
          <w:lang w:eastAsia="ru-RU"/>
        </w:rPr>
        <w:t xml:space="preserve">: </w:t>
      </w:r>
      <w:r w:rsidRPr="008E229C">
        <w:rPr>
          <w:rFonts w:ascii="Times New Roman" w:eastAsia="Malgun Gothic" w:hAnsi="Times New Roman" w:cs="Times New Roman"/>
          <w:iCs/>
          <w:color w:val="000000"/>
          <w:sz w:val="28"/>
          <w:szCs w:val="28"/>
          <w:lang w:eastAsia="ru-RU"/>
        </w:rPr>
        <w:t xml:space="preserve">письменный перевод, </w:t>
      </w:r>
      <w:r w:rsidRPr="008E229C">
        <w:rPr>
          <w:rFonts w:ascii="Times New Roman" w:eastAsia="Malgun Gothic" w:hAnsi="Times New Roman" w:cs="Times New Roman"/>
          <w:iCs/>
          <w:color w:val="000011"/>
          <w:sz w:val="28"/>
          <w:szCs w:val="28"/>
          <w:lang w:eastAsia="ru-RU"/>
        </w:rPr>
        <w:t>BTL-коммуникации, научный текст, адаптация, переводческие преобразования, терминология, заимствования.</w:t>
      </w:r>
    </w:p>
    <w:p w14:paraId="3C6B856F" w14:textId="77777777" w:rsidR="00853BFE" w:rsidRPr="00354EC0" w:rsidRDefault="00853BFE" w:rsidP="00853BFE">
      <w:pPr>
        <w:spacing w:after="0" w:line="360" w:lineRule="auto"/>
        <w:ind w:firstLineChars="253" w:firstLine="708"/>
        <w:jc w:val="right"/>
        <w:rPr>
          <w:rFonts w:ascii="Times New Roman" w:eastAsia="Malgun Gothic" w:hAnsi="Times New Roman" w:cs="Times New Roman"/>
          <w:b/>
          <w:iCs/>
          <w:sz w:val="28"/>
          <w:szCs w:val="28"/>
          <w:lang w:val="en-US" w:eastAsia="ru-RU"/>
        </w:rPr>
      </w:pPr>
      <w:r w:rsidRPr="00354EC0">
        <w:rPr>
          <w:rFonts w:ascii="Times New Roman" w:eastAsia="Malgun Gothic" w:hAnsi="Times New Roman" w:cs="Times New Roman"/>
          <w:b/>
          <w:iCs/>
          <w:sz w:val="28"/>
          <w:szCs w:val="28"/>
          <w:lang w:val="en-US" w:eastAsia="ru-RU"/>
        </w:rPr>
        <w:t xml:space="preserve">Elina V. </w:t>
      </w:r>
      <w:proofErr w:type="spellStart"/>
      <w:r w:rsidRPr="00354EC0">
        <w:rPr>
          <w:rFonts w:ascii="Times New Roman" w:eastAsia="Malgun Gothic" w:hAnsi="Times New Roman" w:cs="Times New Roman"/>
          <w:b/>
          <w:iCs/>
          <w:sz w:val="28"/>
          <w:szCs w:val="28"/>
          <w:lang w:val="en-US" w:eastAsia="ru-RU"/>
        </w:rPr>
        <w:t>Pivanova</w:t>
      </w:r>
      <w:proofErr w:type="spellEnd"/>
    </w:p>
    <w:p w14:paraId="03EAD256" w14:textId="77777777" w:rsidR="00853BFE" w:rsidRPr="00354EC0" w:rsidRDefault="00853BFE" w:rsidP="00853BFE">
      <w:pPr>
        <w:spacing w:after="0" w:line="360" w:lineRule="auto"/>
        <w:ind w:firstLineChars="253" w:firstLine="708"/>
        <w:jc w:val="center"/>
        <w:rPr>
          <w:rFonts w:ascii="Times New Roman" w:eastAsia="Malgun Gothic" w:hAnsi="Times New Roman" w:cs="Times New Roman"/>
          <w:b/>
          <w:iCs/>
          <w:sz w:val="28"/>
          <w:szCs w:val="28"/>
          <w:lang w:val="en-US" w:eastAsia="ru-RU"/>
        </w:rPr>
      </w:pPr>
      <w:r w:rsidRPr="00354EC0">
        <w:rPr>
          <w:rFonts w:ascii="Times New Roman" w:eastAsia="Malgun Gothic" w:hAnsi="Times New Roman" w:cs="Times New Roman"/>
          <w:b/>
          <w:iCs/>
          <w:sz w:val="28"/>
          <w:szCs w:val="28"/>
          <w:lang w:val="en-US" w:eastAsia="ru-RU"/>
        </w:rPr>
        <w:t>TRANSLATOLOGICAL FEATURES OF ONLINE PUBLICATIONS ON EVALUATING THE BTL TECHNOLOGIES EFFECTIVENESS IN THE ASPECT OF MARKETING COMMUNICATIONS</w:t>
      </w:r>
    </w:p>
    <w:p w14:paraId="6293ED01" w14:textId="77777777" w:rsidR="00853BFE" w:rsidRPr="00982D01" w:rsidRDefault="00853BFE" w:rsidP="00853BFE">
      <w:pPr>
        <w:spacing w:after="0" w:line="360" w:lineRule="auto"/>
        <w:ind w:firstLineChars="253" w:firstLine="708"/>
        <w:jc w:val="both"/>
        <w:rPr>
          <w:rFonts w:ascii="Times New Roman" w:eastAsia="Times New Roman" w:hAnsi="Times New Roman" w:cs="Times New Roman"/>
          <w:sz w:val="28"/>
          <w:szCs w:val="28"/>
          <w:lang w:val="en-US" w:eastAsia="ru-RU"/>
        </w:rPr>
      </w:pPr>
      <w:r w:rsidRPr="00982D01">
        <w:rPr>
          <w:rFonts w:ascii="Times New Roman" w:eastAsia="Malgun Gothic" w:hAnsi="Times New Roman" w:cs="Times New Roman"/>
          <w:color w:val="000011"/>
          <w:sz w:val="28"/>
          <w:szCs w:val="28"/>
          <w:lang w:val="en-US" w:eastAsia="ru-RU"/>
        </w:rPr>
        <w:t xml:space="preserve">The article discusses the main translation features of English-language articles in the subject area of marketing communications. The relevance of the research is determined by the following factors: conjunctural needs in the study of authentic materials in the field of marketing communications in order to increase their effectiveness; the expansion of the English language into the fields of science and technology; the need to create a universal Russian term system of the thematic area «marketing technologies». There are no studies on the translation of publications on the BTL effectiveness evaluation in the available literature. The research material was four English online publications published in open access in online versions of international scientific journals. The purpose of the work is to identify the features </w:t>
      </w:r>
      <w:r w:rsidRPr="00982D01">
        <w:rPr>
          <w:rFonts w:ascii="Times New Roman" w:eastAsia="Malgun Gothic" w:hAnsi="Times New Roman" w:cs="Times New Roman"/>
          <w:color w:val="000011"/>
          <w:sz w:val="28"/>
          <w:szCs w:val="28"/>
          <w:lang w:val="en-US" w:eastAsia="ru-RU"/>
        </w:rPr>
        <w:lastRenderedPageBreak/>
        <w:t xml:space="preserve">of the translation of terminological units of the BTL-communications sphere, to determine the possibilities of adaptation, to analyze translation solutions when transmitting the content of texts devoted to evaluating the effectiveness of BTL-communications. General scientific methods of observation, description and classification were used in the work. </w:t>
      </w:r>
      <w:r w:rsidRPr="00982D01">
        <w:rPr>
          <w:rFonts w:ascii="Times New Roman" w:eastAsia="Times New Roman" w:hAnsi="Times New Roman" w:cs="Times New Roman"/>
          <w:sz w:val="28"/>
          <w:szCs w:val="28"/>
          <w:lang w:val="en-US" w:eastAsia="ru-RU"/>
        </w:rPr>
        <w:t xml:space="preserve">Linguistic methods of the study included definition method to clarify the content of basic concepts; comparative analysis method to compare the terminological systems of the Russian and English languages; linguistic analysis to determine the parameters of a scientific text; </w:t>
      </w:r>
      <w:proofErr w:type="spellStart"/>
      <w:r w:rsidRPr="00982D01">
        <w:rPr>
          <w:rFonts w:ascii="Times New Roman" w:eastAsia="Times New Roman" w:hAnsi="Times New Roman" w:cs="Times New Roman"/>
          <w:sz w:val="28"/>
          <w:szCs w:val="28"/>
          <w:lang w:val="en-US" w:eastAsia="ru-RU"/>
        </w:rPr>
        <w:t>translatological</w:t>
      </w:r>
      <w:proofErr w:type="spellEnd"/>
      <w:r w:rsidRPr="00982D01">
        <w:rPr>
          <w:rFonts w:ascii="Times New Roman" w:eastAsia="Times New Roman" w:hAnsi="Times New Roman" w:cs="Times New Roman"/>
          <w:sz w:val="28"/>
          <w:szCs w:val="28"/>
          <w:lang w:val="en-US" w:eastAsia="ru-RU"/>
        </w:rPr>
        <w:t xml:space="preserve"> analysis to identify ways to translate units of the source text, comparative analysis and a method of generalization and induction to highlight marketing aspects of evaluating the effectiveness of BTL technologies. It is established that the </w:t>
      </w:r>
      <w:proofErr w:type="spellStart"/>
      <w:r w:rsidRPr="00982D01">
        <w:rPr>
          <w:rFonts w:ascii="Times New Roman" w:eastAsia="Times New Roman" w:hAnsi="Times New Roman" w:cs="Times New Roman"/>
          <w:sz w:val="28"/>
          <w:szCs w:val="28"/>
          <w:lang w:val="en-US" w:eastAsia="ru-RU"/>
        </w:rPr>
        <w:t>translatological</w:t>
      </w:r>
      <w:proofErr w:type="spellEnd"/>
      <w:r w:rsidRPr="00982D01">
        <w:rPr>
          <w:rFonts w:ascii="Times New Roman" w:eastAsia="Times New Roman" w:hAnsi="Times New Roman" w:cs="Times New Roman"/>
          <w:sz w:val="28"/>
          <w:szCs w:val="28"/>
          <w:lang w:val="en-US" w:eastAsia="ru-RU"/>
        </w:rPr>
        <w:t xml:space="preserve"> features of online publications devoted to evaluating the effectiveness of BTL technologies are mainly due to the specifics of highly specialized term units that make up the cluster borrowed term system. The presence of compressive and adaptive interlanguage asymmetry is an essential factor that must be taken into account in the search for optimal translation solutions when working with this type of text. The most frequent translation transformations were clarified.</w:t>
      </w:r>
    </w:p>
    <w:p w14:paraId="5FF82F4E" w14:textId="77777777" w:rsidR="00853BFE" w:rsidRPr="008E229C" w:rsidRDefault="00853BFE" w:rsidP="00853BFE">
      <w:pPr>
        <w:spacing w:after="0" w:line="360" w:lineRule="auto"/>
        <w:ind w:firstLineChars="253" w:firstLine="711"/>
        <w:jc w:val="both"/>
        <w:rPr>
          <w:rFonts w:ascii="Times New Roman" w:eastAsia="Times New Roman" w:hAnsi="Times New Roman" w:cs="Times New Roman"/>
          <w:sz w:val="28"/>
          <w:szCs w:val="28"/>
          <w:lang w:val="en-US" w:eastAsia="ru-RU"/>
        </w:rPr>
      </w:pPr>
      <w:r w:rsidRPr="00982D01">
        <w:rPr>
          <w:rFonts w:ascii="Times New Roman" w:eastAsia="Times New Roman" w:hAnsi="Times New Roman" w:cs="Times New Roman"/>
          <w:b/>
          <w:bCs/>
          <w:sz w:val="28"/>
          <w:szCs w:val="28"/>
          <w:lang w:val="en-US" w:eastAsia="ru-RU"/>
        </w:rPr>
        <w:t>Key</w:t>
      </w:r>
      <w:r>
        <w:rPr>
          <w:rFonts w:ascii="Times New Roman" w:eastAsia="Times New Roman" w:hAnsi="Times New Roman" w:cs="Times New Roman"/>
          <w:b/>
          <w:bCs/>
          <w:sz w:val="28"/>
          <w:szCs w:val="28"/>
          <w:lang w:val="en-US" w:eastAsia="ru-RU"/>
        </w:rPr>
        <w:t xml:space="preserve"> </w:t>
      </w:r>
      <w:r w:rsidRPr="00982D01">
        <w:rPr>
          <w:rFonts w:ascii="Times New Roman" w:eastAsia="Times New Roman" w:hAnsi="Times New Roman" w:cs="Times New Roman"/>
          <w:b/>
          <w:bCs/>
          <w:sz w:val="28"/>
          <w:szCs w:val="28"/>
          <w:lang w:val="en-US" w:eastAsia="ru-RU"/>
        </w:rPr>
        <w:t>words:</w:t>
      </w:r>
      <w:r w:rsidRPr="00982D01">
        <w:rPr>
          <w:rFonts w:ascii="Times New Roman" w:eastAsia="Times New Roman" w:hAnsi="Times New Roman" w:cs="Times New Roman"/>
          <w:sz w:val="28"/>
          <w:szCs w:val="28"/>
          <w:lang w:val="en-US" w:eastAsia="ru-RU"/>
        </w:rPr>
        <w:t xml:space="preserve"> </w:t>
      </w:r>
      <w:r w:rsidRPr="008E229C">
        <w:rPr>
          <w:rFonts w:ascii="Times New Roman" w:eastAsia="Times New Roman" w:hAnsi="Times New Roman" w:cs="Times New Roman"/>
          <w:iCs/>
          <w:sz w:val="28"/>
          <w:szCs w:val="28"/>
          <w:lang w:val="en-US" w:eastAsia="ru-RU"/>
        </w:rPr>
        <w:t>written translation, BTL-communication, scientific text, adaptation, translation transformations, terminology, borrowings.</w:t>
      </w:r>
    </w:p>
    <w:p w14:paraId="4F3BAB69" w14:textId="77777777" w:rsidR="00853BFE" w:rsidRDefault="00853BFE" w:rsidP="00853BFE">
      <w:pPr>
        <w:shd w:val="clear" w:color="auto" w:fill="FFFFFF"/>
        <w:spacing w:after="0" w:line="360" w:lineRule="auto"/>
        <w:ind w:firstLineChars="253" w:firstLine="708"/>
        <w:jc w:val="both"/>
        <w:rPr>
          <w:rFonts w:ascii="Times New Roman" w:eastAsia="Times New Roman" w:hAnsi="Times New Roman" w:cs="Times New Roman"/>
          <w:color w:val="000000"/>
          <w:sz w:val="28"/>
          <w:szCs w:val="28"/>
          <w:lang w:val="en-US" w:eastAsia="ru-RU"/>
        </w:rPr>
      </w:pPr>
    </w:p>
    <w:p w14:paraId="3B1DC46C" w14:textId="77777777" w:rsidR="00853BFE" w:rsidRPr="00982D01" w:rsidRDefault="00853BFE" w:rsidP="00853BFE">
      <w:pPr>
        <w:spacing w:after="0" w:line="240" w:lineRule="auto"/>
        <w:jc w:val="center"/>
        <w:rPr>
          <w:rFonts w:ascii="Times New Roman" w:hAnsi="Times New Roman" w:cs="Times New Roman"/>
          <w:b/>
          <w:sz w:val="28"/>
          <w:szCs w:val="28"/>
        </w:rPr>
      </w:pPr>
      <w:r w:rsidRPr="00982D01">
        <w:rPr>
          <w:rFonts w:ascii="Times New Roman" w:hAnsi="Times New Roman" w:cs="Times New Roman"/>
          <w:b/>
          <w:sz w:val="28"/>
          <w:szCs w:val="28"/>
        </w:rPr>
        <w:t xml:space="preserve">РЕЦЕНЗИИ / </w:t>
      </w:r>
      <w:r w:rsidRPr="00982D01">
        <w:rPr>
          <w:rFonts w:ascii="Times New Roman" w:hAnsi="Times New Roman" w:cs="Times New Roman"/>
          <w:b/>
          <w:sz w:val="28"/>
          <w:szCs w:val="28"/>
          <w:lang w:val="en-US"/>
        </w:rPr>
        <w:t>REVIEW</w:t>
      </w:r>
    </w:p>
    <w:p w14:paraId="0005270C" w14:textId="4A772C2B" w:rsidR="00853BFE" w:rsidRPr="003338B3" w:rsidRDefault="003338B3" w:rsidP="003338B3">
      <w:pPr>
        <w:spacing w:after="0"/>
        <w:ind w:firstLine="709"/>
        <w:rPr>
          <w:rFonts w:ascii="Times New Roman" w:hAnsi="Times New Roman" w:cs="Times New Roman"/>
          <w:b/>
          <w:bCs/>
          <w:sz w:val="28"/>
          <w:szCs w:val="28"/>
        </w:rPr>
      </w:pPr>
      <w:r w:rsidRPr="003338B3">
        <w:rPr>
          <w:rFonts w:ascii="Times New Roman" w:hAnsi="Times New Roman" w:cs="Times New Roman"/>
          <w:b/>
          <w:bCs/>
          <w:sz w:val="28"/>
          <w:szCs w:val="28"/>
        </w:rPr>
        <w:t>УДК 93/94 (049.32)</w:t>
      </w:r>
    </w:p>
    <w:p w14:paraId="60B7B998" w14:textId="77777777" w:rsidR="00853BFE" w:rsidRPr="00F77ECD" w:rsidRDefault="00853BFE" w:rsidP="00853BFE">
      <w:pPr>
        <w:spacing w:after="0"/>
        <w:ind w:firstLine="709"/>
        <w:jc w:val="right"/>
        <w:rPr>
          <w:rFonts w:ascii="Times New Roman" w:hAnsi="Times New Roman" w:cs="Times New Roman"/>
          <w:b/>
          <w:bCs/>
          <w:sz w:val="28"/>
          <w:szCs w:val="28"/>
        </w:rPr>
      </w:pPr>
      <w:r w:rsidRPr="00F77ECD">
        <w:rPr>
          <w:rFonts w:ascii="Times New Roman" w:hAnsi="Times New Roman" w:cs="Times New Roman"/>
          <w:b/>
          <w:bCs/>
          <w:sz w:val="28"/>
          <w:szCs w:val="28"/>
        </w:rPr>
        <w:t>http://doi.org/10.37493/2409-1030.2022.2.24</w:t>
      </w:r>
    </w:p>
    <w:p w14:paraId="0357EBF1" w14:textId="77777777" w:rsidR="00853BFE" w:rsidRDefault="00853BFE" w:rsidP="00853BFE">
      <w:pPr>
        <w:spacing w:after="0"/>
        <w:ind w:firstLine="709"/>
        <w:jc w:val="both"/>
        <w:rPr>
          <w:rFonts w:ascii="Times New Roman" w:eastAsia="Times New Roman" w:hAnsi="Times New Roman" w:cs="Times New Roman"/>
          <w:sz w:val="28"/>
          <w:szCs w:val="28"/>
          <w:lang w:val="en-US" w:eastAsia="ru-RU"/>
        </w:rPr>
      </w:pPr>
      <w:r w:rsidRPr="00982D01">
        <w:rPr>
          <w:rFonts w:ascii="Times New Roman" w:hAnsi="Times New Roman" w:cs="Times New Roman"/>
          <w:b/>
          <w:bCs/>
          <w:sz w:val="28"/>
          <w:szCs w:val="28"/>
        </w:rPr>
        <w:t xml:space="preserve">Бабенко В.А., Колесникова М.Е. </w:t>
      </w:r>
      <w:proofErr w:type="spellStart"/>
      <w:r w:rsidRPr="00982D01">
        <w:rPr>
          <w:rFonts w:ascii="Times New Roman" w:eastAsia="Times New Roman" w:hAnsi="Times New Roman" w:cs="Times New Roman"/>
          <w:sz w:val="28"/>
          <w:szCs w:val="28"/>
          <w:lang w:eastAsia="ru-RU"/>
        </w:rPr>
        <w:t>Кяфарский</w:t>
      </w:r>
      <w:proofErr w:type="spellEnd"/>
      <w:r w:rsidRPr="00982D01">
        <w:rPr>
          <w:rFonts w:ascii="Times New Roman" w:eastAsia="Times New Roman" w:hAnsi="Times New Roman" w:cs="Times New Roman"/>
          <w:sz w:val="28"/>
          <w:szCs w:val="28"/>
          <w:lang w:eastAsia="ru-RU"/>
        </w:rPr>
        <w:t xml:space="preserve"> мавзолей аланского правителя </w:t>
      </w:r>
      <w:r w:rsidRPr="00982D01">
        <w:rPr>
          <w:rFonts w:ascii="Times New Roman" w:eastAsia="Times New Roman" w:hAnsi="Times New Roman" w:cs="Times New Roman"/>
          <w:sz w:val="28"/>
          <w:szCs w:val="28"/>
          <w:lang w:val="en-US" w:eastAsia="ru-RU"/>
        </w:rPr>
        <w:t>XI</w:t>
      </w:r>
      <w:r w:rsidRPr="00982D01">
        <w:rPr>
          <w:rFonts w:ascii="Times New Roman" w:eastAsia="Times New Roman" w:hAnsi="Times New Roman" w:cs="Times New Roman"/>
          <w:sz w:val="28"/>
          <w:szCs w:val="28"/>
          <w:lang w:eastAsia="ru-RU"/>
        </w:rPr>
        <w:t xml:space="preserve"> века: символы и смыслы изображений</w:t>
      </w:r>
      <w:r w:rsidRPr="00982D01">
        <w:rPr>
          <w:rFonts w:ascii="Times New Roman" w:eastAsia="Times New Roman" w:hAnsi="Times New Roman" w:cs="Times New Roman"/>
          <w:b/>
          <w:bCs/>
          <w:sz w:val="28"/>
          <w:szCs w:val="28"/>
          <w:lang w:eastAsia="ru-RU"/>
        </w:rPr>
        <w:t xml:space="preserve"> </w:t>
      </w:r>
      <w:r w:rsidRPr="00982D01">
        <w:rPr>
          <w:rFonts w:ascii="Times New Roman" w:eastAsia="Times New Roman" w:hAnsi="Times New Roman" w:cs="Times New Roman"/>
          <w:sz w:val="28"/>
          <w:szCs w:val="28"/>
          <w:lang w:eastAsia="ru-RU"/>
        </w:rPr>
        <w:t>[</w:t>
      </w:r>
      <w:proofErr w:type="spellStart"/>
      <w:r w:rsidRPr="00982D01">
        <w:rPr>
          <w:rFonts w:ascii="Times New Roman" w:eastAsia="Times New Roman" w:hAnsi="Times New Roman" w:cs="Times New Roman"/>
          <w:sz w:val="28"/>
          <w:szCs w:val="28"/>
          <w:lang w:eastAsia="ru-RU"/>
        </w:rPr>
        <w:t>Рец</w:t>
      </w:r>
      <w:proofErr w:type="spellEnd"/>
      <w:r w:rsidRPr="00982D01">
        <w:rPr>
          <w:rFonts w:ascii="Times New Roman" w:eastAsia="Times New Roman" w:hAnsi="Times New Roman" w:cs="Times New Roman"/>
          <w:sz w:val="28"/>
          <w:szCs w:val="28"/>
          <w:lang w:eastAsia="ru-RU"/>
        </w:rPr>
        <w:t xml:space="preserve">. на кн.: </w:t>
      </w:r>
      <w:proofErr w:type="spellStart"/>
      <w:r w:rsidRPr="00982D01">
        <w:rPr>
          <w:rFonts w:ascii="Times New Roman" w:eastAsia="Times New Roman" w:hAnsi="Times New Roman" w:cs="Times New Roman"/>
          <w:sz w:val="28"/>
          <w:szCs w:val="28"/>
          <w:lang w:eastAsia="ru-RU"/>
        </w:rPr>
        <w:t>Охонько</w:t>
      </w:r>
      <w:proofErr w:type="spellEnd"/>
      <w:r w:rsidRPr="00982D01">
        <w:rPr>
          <w:rFonts w:ascii="Times New Roman" w:eastAsia="Times New Roman" w:hAnsi="Times New Roman" w:cs="Times New Roman"/>
          <w:sz w:val="28"/>
          <w:szCs w:val="28"/>
          <w:lang w:eastAsia="ru-RU"/>
        </w:rPr>
        <w:t xml:space="preserve"> Н.А. </w:t>
      </w:r>
      <w:proofErr w:type="spellStart"/>
      <w:r w:rsidRPr="00982D01">
        <w:rPr>
          <w:rFonts w:ascii="Times New Roman" w:eastAsia="Times New Roman" w:hAnsi="Times New Roman" w:cs="Times New Roman"/>
          <w:sz w:val="28"/>
          <w:szCs w:val="28"/>
          <w:lang w:eastAsia="ru-RU"/>
        </w:rPr>
        <w:t>Кяфарский</w:t>
      </w:r>
      <w:proofErr w:type="spellEnd"/>
      <w:r w:rsidRPr="00982D01">
        <w:rPr>
          <w:rFonts w:ascii="Times New Roman" w:eastAsia="Times New Roman" w:hAnsi="Times New Roman" w:cs="Times New Roman"/>
          <w:sz w:val="28"/>
          <w:szCs w:val="28"/>
          <w:lang w:eastAsia="ru-RU"/>
        </w:rPr>
        <w:t xml:space="preserve"> мавзолей аланского правителя XI века и вопросы его интерпретации: монография. Ставрополь</w:t>
      </w:r>
      <w:r w:rsidRPr="00982D01">
        <w:rPr>
          <w:rFonts w:ascii="Times New Roman" w:eastAsia="Times New Roman" w:hAnsi="Times New Roman" w:cs="Times New Roman"/>
          <w:sz w:val="28"/>
          <w:szCs w:val="28"/>
          <w:lang w:val="en-US" w:eastAsia="ru-RU"/>
        </w:rPr>
        <w:t xml:space="preserve">: </w:t>
      </w:r>
      <w:r w:rsidRPr="00982D01">
        <w:rPr>
          <w:rFonts w:ascii="Times New Roman" w:eastAsia="Times New Roman" w:hAnsi="Times New Roman" w:cs="Times New Roman"/>
          <w:sz w:val="28"/>
          <w:szCs w:val="28"/>
          <w:lang w:eastAsia="ru-RU"/>
        </w:rPr>
        <w:t>Дизайн</w:t>
      </w:r>
      <w:r w:rsidRPr="00982D01">
        <w:rPr>
          <w:rFonts w:ascii="Times New Roman" w:eastAsia="Times New Roman" w:hAnsi="Times New Roman" w:cs="Times New Roman"/>
          <w:sz w:val="28"/>
          <w:szCs w:val="28"/>
          <w:lang w:val="en-US" w:eastAsia="ru-RU"/>
        </w:rPr>
        <w:t>-</w:t>
      </w:r>
      <w:r w:rsidRPr="00982D01">
        <w:rPr>
          <w:rFonts w:ascii="Times New Roman" w:eastAsia="Times New Roman" w:hAnsi="Times New Roman" w:cs="Times New Roman"/>
          <w:sz w:val="28"/>
          <w:szCs w:val="28"/>
          <w:lang w:eastAsia="ru-RU"/>
        </w:rPr>
        <w:t>студия</w:t>
      </w:r>
      <w:r w:rsidRPr="00982D01">
        <w:rPr>
          <w:rFonts w:ascii="Times New Roman" w:eastAsia="Times New Roman" w:hAnsi="Times New Roman" w:cs="Times New Roman"/>
          <w:sz w:val="28"/>
          <w:szCs w:val="28"/>
          <w:lang w:val="en-US" w:eastAsia="ru-RU"/>
        </w:rPr>
        <w:t xml:space="preserve"> </w:t>
      </w:r>
      <w:r w:rsidRPr="00982D01">
        <w:rPr>
          <w:rFonts w:ascii="Times New Roman" w:eastAsia="Times New Roman" w:hAnsi="Times New Roman" w:cs="Times New Roman"/>
          <w:sz w:val="28"/>
          <w:szCs w:val="28"/>
          <w:lang w:eastAsia="ru-RU"/>
        </w:rPr>
        <w:t>Б</w:t>
      </w:r>
      <w:r w:rsidRPr="00982D01">
        <w:rPr>
          <w:rFonts w:ascii="Times New Roman" w:eastAsia="Times New Roman" w:hAnsi="Times New Roman" w:cs="Times New Roman"/>
          <w:sz w:val="28"/>
          <w:szCs w:val="28"/>
          <w:lang w:val="en-US" w:eastAsia="ru-RU"/>
        </w:rPr>
        <w:t xml:space="preserve">, 2020. 224 </w:t>
      </w:r>
      <w:r w:rsidRPr="00982D01">
        <w:rPr>
          <w:rFonts w:ascii="Times New Roman" w:eastAsia="Times New Roman" w:hAnsi="Times New Roman" w:cs="Times New Roman"/>
          <w:sz w:val="28"/>
          <w:szCs w:val="28"/>
          <w:lang w:eastAsia="ru-RU"/>
        </w:rPr>
        <w:t>с</w:t>
      </w:r>
      <w:r w:rsidRPr="00982D01">
        <w:rPr>
          <w:rFonts w:ascii="Times New Roman" w:eastAsia="Times New Roman" w:hAnsi="Times New Roman" w:cs="Times New Roman"/>
          <w:sz w:val="28"/>
          <w:szCs w:val="28"/>
          <w:lang w:val="en-US" w:eastAsia="ru-RU"/>
        </w:rPr>
        <w:t>.]</w:t>
      </w:r>
    </w:p>
    <w:p w14:paraId="5F033738" w14:textId="77777777" w:rsidR="00853BFE" w:rsidRPr="00853BFE" w:rsidRDefault="00853BFE" w:rsidP="00853BFE">
      <w:pPr>
        <w:spacing w:after="0" w:line="360" w:lineRule="auto"/>
        <w:ind w:firstLineChars="253" w:firstLine="711"/>
        <w:jc w:val="both"/>
        <w:rPr>
          <w:rFonts w:ascii="Times New Roman" w:hAnsi="Times New Roman"/>
          <w:b/>
          <w:sz w:val="28"/>
          <w:szCs w:val="28"/>
          <w:lang w:val="en-US"/>
        </w:rPr>
      </w:pPr>
    </w:p>
    <w:p w14:paraId="7B3EF052" w14:textId="21C75AB5" w:rsidR="003578B6" w:rsidRPr="0092421C" w:rsidRDefault="00853BFE" w:rsidP="003338B3">
      <w:pPr>
        <w:spacing w:after="0" w:line="240" w:lineRule="auto"/>
        <w:ind w:firstLine="720"/>
        <w:jc w:val="both"/>
        <w:rPr>
          <w:rFonts w:ascii="Times New Roman" w:hAnsi="Times New Roman" w:cs="Times New Roman"/>
          <w:sz w:val="28"/>
          <w:szCs w:val="28"/>
          <w:lang w:val="en-US"/>
        </w:rPr>
      </w:pPr>
      <w:proofErr w:type="spellStart"/>
      <w:r w:rsidRPr="00982D01">
        <w:rPr>
          <w:rFonts w:ascii="Times New Roman" w:eastAsia="Times New Roman" w:hAnsi="Times New Roman" w:cs="Times New Roman"/>
          <w:b/>
          <w:bCs/>
          <w:sz w:val="28"/>
          <w:szCs w:val="28"/>
          <w:lang w:val="en-US" w:eastAsia="ru-RU"/>
        </w:rPr>
        <w:t>Babenko</w:t>
      </w:r>
      <w:proofErr w:type="spellEnd"/>
      <w:r w:rsidRPr="00982D01">
        <w:rPr>
          <w:rFonts w:ascii="Times New Roman" w:eastAsia="Times New Roman" w:hAnsi="Times New Roman" w:cs="Times New Roman"/>
          <w:b/>
          <w:bCs/>
          <w:sz w:val="28"/>
          <w:szCs w:val="28"/>
          <w:lang w:val="en-US" w:eastAsia="ru-RU"/>
        </w:rPr>
        <w:t xml:space="preserve"> </w:t>
      </w:r>
      <w:proofErr w:type="spellStart"/>
      <w:r w:rsidRPr="00982D01">
        <w:rPr>
          <w:rFonts w:ascii="Times New Roman" w:eastAsia="Times New Roman" w:hAnsi="Times New Roman" w:cs="Times New Roman"/>
          <w:b/>
          <w:bCs/>
          <w:sz w:val="28"/>
          <w:szCs w:val="28"/>
          <w:lang w:val="en-US" w:eastAsia="ru-RU"/>
        </w:rPr>
        <w:t>Vitalii</w:t>
      </w:r>
      <w:proofErr w:type="spellEnd"/>
      <w:r w:rsidRPr="00982D01">
        <w:rPr>
          <w:rFonts w:ascii="Times New Roman" w:eastAsia="Times New Roman" w:hAnsi="Times New Roman" w:cs="Times New Roman"/>
          <w:b/>
          <w:bCs/>
          <w:sz w:val="28"/>
          <w:szCs w:val="28"/>
          <w:lang w:val="en-US" w:eastAsia="ru-RU"/>
        </w:rPr>
        <w:t xml:space="preserve"> A., Kolesnikova Marina E. </w:t>
      </w:r>
      <w:proofErr w:type="spellStart"/>
      <w:r w:rsidRPr="00982D01">
        <w:rPr>
          <w:rFonts w:ascii="Times New Roman" w:eastAsia="Times New Roman" w:hAnsi="Times New Roman" w:cs="Times New Roman"/>
          <w:sz w:val="28"/>
          <w:szCs w:val="28"/>
          <w:lang w:val="en-US" w:eastAsia="ru-RU"/>
        </w:rPr>
        <w:t>Kafar</w:t>
      </w:r>
      <w:proofErr w:type="spellEnd"/>
      <w:r w:rsidRPr="00982D01">
        <w:rPr>
          <w:rFonts w:ascii="Times New Roman" w:eastAsia="Times New Roman" w:hAnsi="Times New Roman" w:cs="Times New Roman"/>
          <w:sz w:val="28"/>
          <w:szCs w:val="28"/>
          <w:lang w:val="en-US" w:eastAsia="ru-RU"/>
        </w:rPr>
        <w:t xml:space="preserve"> mausoleum of the </w:t>
      </w:r>
      <w:proofErr w:type="spellStart"/>
      <w:r w:rsidRPr="00982D01">
        <w:rPr>
          <w:rFonts w:ascii="Times New Roman" w:eastAsia="Times New Roman" w:hAnsi="Times New Roman" w:cs="Times New Roman"/>
          <w:sz w:val="28"/>
          <w:szCs w:val="28"/>
          <w:lang w:val="en-US" w:eastAsia="ru-RU"/>
        </w:rPr>
        <w:t>Alanian</w:t>
      </w:r>
      <w:proofErr w:type="spellEnd"/>
      <w:r w:rsidRPr="00982D01">
        <w:rPr>
          <w:rFonts w:ascii="Times New Roman" w:eastAsia="Times New Roman" w:hAnsi="Times New Roman" w:cs="Times New Roman"/>
          <w:sz w:val="28"/>
          <w:szCs w:val="28"/>
          <w:lang w:val="en-US" w:eastAsia="ru-RU"/>
        </w:rPr>
        <w:t xml:space="preserve"> ruler of the 11th century: symbols and meanings of images [Review. </w:t>
      </w:r>
      <w:proofErr w:type="spellStart"/>
      <w:r w:rsidRPr="00982D01">
        <w:rPr>
          <w:rFonts w:ascii="Times New Roman" w:eastAsia="Times New Roman" w:hAnsi="Times New Roman" w:cs="Times New Roman"/>
          <w:sz w:val="28"/>
          <w:szCs w:val="28"/>
          <w:lang w:val="en-US" w:eastAsia="ru-RU"/>
        </w:rPr>
        <w:t>Okhon'ko</w:t>
      </w:r>
      <w:proofErr w:type="spellEnd"/>
      <w:r w:rsidRPr="00982D01">
        <w:rPr>
          <w:rFonts w:ascii="Times New Roman" w:eastAsia="Times New Roman" w:hAnsi="Times New Roman" w:cs="Times New Roman"/>
          <w:sz w:val="28"/>
          <w:szCs w:val="28"/>
          <w:lang w:val="en-US" w:eastAsia="ru-RU"/>
        </w:rPr>
        <w:t xml:space="preserve"> N.A. </w:t>
      </w:r>
      <w:proofErr w:type="spellStart"/>
      <w:r w:rsidRPr="00982D01">
        <w:rPr>
          <w:rFonts w:ascii="Times New Roman" w:eastAsia="Times New Roman" w:hAnsi="Times New Roman" w:cs="Times New Roman"/>
          <w:sz w:val="28"/>
          <w:szCs w:val="28"/>
          <w:lang w:val="en-US" w:eastAsia="ru-RU"/>
        </w:rPr>
        <w:t>Kafar</w:t>
      </w:r>
      <w:proofErr w:type="spellEnd"/>
      <w:r w:rsidRPr="00982D01">
        <w:rPr>
          <w:rFonts w:ascii="Times New Roman" w:eastAsia="Times New Roman" w:hAnsi="Times New Roman" w:cs="Times New Roman"/>
          <w:sz w:val="28"/>
          <w:szCs w:val="28"/>
          <w:lang w:val="en-US" w:eastAsia="ru-RU"/>
        </w:rPr>
        <w:t xml:space="preserve"> mausoleum of the Alani ruler of the 11th century and questions of its interpretation: monograph. Stavropol</w:t>
      </w:r>
      <w:r w:rsidRPr="00982D01">
        <w:rPr>
          <w:rFonts w:ascii="Times New Roman" w:eastAsia="Times New Roman" w:hAnsi="Times New Roman" w:cs="Times New Roman"/>
          <w:sz w:val="28"/>
          <w:szCs w:val="28"/>
          <w:lang w:eastAsia="ru-RU"/>
        </w:rPr>
        <w:t xml:space="preserve">: </w:t>
      </w:r>
      <w:r w:rsidRPr="00982D01">
        <w:rPr>
          <w:rFonts w:ascii="Times New Roman" w:eastAsia="Times New Roman" w:hAnsi="Times New Roman" w:cs="Times New Roman"/>
          <w:sz w:val="28"/>
          <w:szCs w:val="28"/>
          <w:lang w:val="en-US" w:eastAsia="ru-RU"/>
        </w:rPr>
        <w:t>Design</w:t>
      </w:r>
      <w:r w:rsidRPr="00982D01">
        <w:rPr>
          <w:rFonts w:ascii="Times New Roman" w:eastAsia="Times New Roman" w:hAnsi="Times New Roman" w:cs="Times New Roman"/>
          <w:sz w:val="28"/>
          <w:szCs w:val="28"/>
          <w:lang w:eastAsia="ru-RU"/>
        </w:rPr>
        <w:t xml:space="preserve"> </w:t>
      </w:r>
      <w:r w:rsidRPr="00982D01">
        <w:rPr>
          <w:rFonts w:ascii="Times New Roman" w:eastAsia="Times New Roman" w:hAnsi="Times New Roman" w:cs="Times New Roman"/>
          <w:sz w:val="28"/>
          <w:szCs w:val="28"/>
          <w:lang w:val="en-US" w:eastAsia="ru-RU"/>
        </w:rPr>
        <w:t>Studia</w:t>
      </w:r>
      <w:r w:rsidRPr="00982D01">
        <w:rPr>
          <w:rFonts w:ascii="Times New Roman" w:eastAsia="Times New Roman" w:hAnsi="Times New Roman" w:cs="Times New Roman"/>
          <w:sz w:val="28"/>
          <w:szCs w:val="28"/>
          <w:lang w:eastAsia="ru-RU"/>
        </w:rPr>
        <w:t xml:space="preserve"> </w:t>
      </w:r>
      <w:r w:rsidRPr="00982D01">
        <w:rPr>
          <w:rFonts w:ascii="Times New Roman" w:eastAsia="Times New Roman" w:hAnsi="Times New Roman" w:cs="Times New Roman"/>
          <w:sz w:val="28"/>
          <w:szCs w:val="28"/>
          <w:lang w:val="en-US" w:eastAsia="ru-RU"/>
        </w:rPr>
        <w:t>B</w:t>
      </w:r>
      <w:r w:rsidRPr="00982D01">
        <w:rPr>
          <w:rFonts w:ascii="Times New Roman" w:eastAsia="Times New Roman" w:hAnsi="Times New Roman" w:cs="Times New Roman"/>
          <w:sz w:val="28"/>
          <w:szCs w:val="28"/>
          <w:lang w:eastAsia="ru-RU"/>
        </w:rPr>
        <w:t xml:space="preserve">, 2020. 224 </w:t>
      </w:r>
      <w:r w:rsidRPr="00982D01">
        <w:rPr>
          <w:rFonts w:ascii="Times New Roman" w:eastAsia="Times New Roman" w:hAnsi="Times New Roman" w:cs="Times New Roman"/>
          <w:sz w:val="28"/>
          <w:szCs w:val="28"/>
          <w:lang w:val="en-US" w:eastAsia="ru-RU"/>
        </w:rPr>
        <w:t>p</w:t>
      </w:r>
      <w:r w:rsidRPr="00982D01">
        <w:rPr>
          <w:rFonts w:ascii="Times New Roman" w:eastAsia="Times New Roman" w:hAnsi="Times New Roman" w:cs="Times New Roman"/>
          <w:sz w:val="28"/>
          <w:szCs w:val="28"/>
          <w:lang w:eastAsia="ru-RU"/>
        </w:rPr>
        <w:t>.]</w:t>
      </w:r>
    </w:p>
    <w:sectPr w:rsidR="003578B6" w:rsidRPr="0092421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F19BA" w14:textId="77777777" w:rsidR="00B80A1A" w:rsidRDefault="00B80A1A" w:rsidP="0092421C">
      <w:pPr>
        <w:spacing w:after="0" w:line="240" w:lineRule="auto"/>
      </w:pPr>
      <w:r>
        <w:separator/>
      </w:r>
    </w:p>
  </w:endnote>
  <w:endnote w:type="continuationSeparator" w:id="0">
    <w:p w14:paraId="533582CC" w14:textId="77777777" w:rsidR="00B80A1A" w:rsidRDefault="00B80A1A" w:rsidP="00924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tonC">
    <w:altName w:val="Calibri"/>
    <w:panose1 w:val="00000000000000000000"/>
    <w:charset w:val="CC"/>
    <w:family w:val="roman"/>
    <w:notTrueType/>
    <w:pitch w:val="default"/>
    <w:sig w:usb0="00000201" w:usb1="00000000" w:usb2="00000000" w:usb3="00000000" w:csb0="00000004" w:csb1="00000000"/>
  </w:font>
  <w:font w:name="Helvetica Neue">
    <w:altName w:val="Times New Roman"/>
    <w:charset w:val="00"/>
    <w:family w:val="roman"/>
    <w:pitch w:val="default"/>
  </w:font>
  <w:font w:name="inherit">
    <w:altName w:val="Times New Roman"/>
    <w:panose1 w:val="00000000000000000000"/>
    <w:charset w:val="00"/>
    <w:family w:val="roman"/>
    <w:notTrueType/>
    <w:pitch w:val="default"/>
  </w:font>
  <w:font w:name="ArialMT">
    <w:altName w:val="Microsoft JhengHei Light"/>
    <w:panose1 w:val="00000000000000000000"/>
    <w:charset w:val="80"/>
    <w:family w:val="auto"/>
    <w:notTrueType/>
    <w:pitch w:val="default"/>
    <w:sig w:usb0="00000001" w:usb1="080F0000" w:usb2="00000010" w:usb3="00000000" w:csb0="0006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A1E73" w14:textId="77777777" w:rsidR="00B80A1A" w:rsidRDefault="00B80A1A" w:rsidP="0092421C">
      <w:pPr>
        <w:spacing w:after="0" w:line="240" w:lineRule="auto"/>
      </w:pPr>
      <w:r>
        <w:separator/>
      </w:r>
    </w:p>
  </w:footnote>
  <w:footnote w:type="continuationSeparator" w:id="0">
    <w:p w14:paraId="4E8E15B3" w14:textId="77777777" w:rsidR="00B80A1A" w:rsidRDefault="00B80A1A" w:rsidP="0092421C">
      <w:pPr>
        <w:spacing w:after="0" w:line="240" w:lineRule="auto"/>
      </w:pPr>
      <w:r>
        <w:continuationSeparator/>
      </w:r>
    </w:p>
  </w:footnote>
  <w:footnote w:id="1">
    <w:p w14:paraId="667D527A" w14:textId="77777777" w:rsidR="0092421C" w:rsidRPr="003B437E" w:rsidRDefault="0092421C" w:rsidP="0092421C">
      <w:pPr>
        <w:pStyle w:val="a4"/>
        <w:jc w:val="both"/>
        <w:rPr>
          <w:rFonts w:ascii="Times New Roman" w:hAnsi="Times New Roman" w:cs="Times New Roman"/>
        </w:rPr>
      </w:pPr>
      <w:r w:rsidRPr="003B437E">
        <w:rPr>
          <w:rStyle w:val="a6"/>
          <w:rFonts w:ascii="Times New Roman" w:hAnsi="Times New Roman" w:cs="Times New Roman"/>
        </w:rPr>
        <w:footnoteRef/>
      </w:r>
      <w:r w:rsidRPr="003B437E">
        <w:rPr>
          <w:rFonts w:ascii="Times New Roman" w:hAnsi="Times New Roman" w:cs="Times New Roman"/>
        </w:rPr>
        <w:t xml:space="preserve"> Работа выполнена при финансовой поддержке гранта РФФИ, проект №20-39-90025 «Веймарская республика в восприятии протестантских церквей и теологов».</w:t>
      </w:r>
    </w:p>
  </w:footnote>
  <w:footnote w:id="2">
    <w:p w14:paraId="70D1F4B3" w14:textId="77777777" w:rsidR="0092421C" w:rsidRPr="003B437E" w:rsidRDefault="0092421C" w:rsidP="0092421C">
      <w:pPr>
        <w:pStyle w:val="a4"/>
        <w:jc w:val="both"/>
        <w:rPr>
          <w:rFonts w:ascii="Times New Roman" w:hAnsi="Times New Roman" w:cs="Times New Roman"/>
          <w:lang w:val="en-US"/>
        </w:rPr>
      </w:pPr>
      <w:r w:rsidRPr="003B437E">
        <w:rPr>
          <w:rStyle w:val="a6"/>
          <w:rFonts w:ascii="Times New Roman" w:hAnsi="Times New Roman" w:cs="Times New Roman"/>
        </w:rPr>
        <w:footnoteRef/>
      </w:r>
      <w:r w:rsidRPr="003B437E">
        <w:rPr>
          <w:rFonts w:ascii="Times New Roman" w:hAnsi="Times New Roman" w:cs="Times New Roman"/>
          <w:lang w:val="en-US"/>
        </w:rPr>
        <w:t xml:space="preserve"> The work was financially supported by the RFBR grant, project No. 20-39-90025 “The Weimar Republic in the Perception of Protestant Churches and Theologians”.</w:t>
      </w:r>
    </w:p>
  </w:footnote>
  <w:footnote w:id="3">
    <w:p w14:paraId="6E5DEE88" w14:textId="77777777" w:rsidR="00853BFE" w:rsidRPr="00F32223" w:rsidRDefault="00853BFE" w:rsidP="00853BFE">
      <w:pPr>
        <w:pStyle w:val="a4"/>
        <w:rPr>
          <w:rFonts w:ascii="Times New Roman" w:hAnsi="Times New Roman" w:cs="Times New Roman"/>
        </w:rPr>
      </w:pPr>
      <w:r w:rsidRPr="00F25CD9">
        <w:rPr>
          <w:rStyle w:val="a6"/>
          <w:rFonts w:ascii="Times New Roman" w:hAnsi="Times New Roman" w:cs="Times New Roman"/>
        </w:rPr>
        <w:footnoteRef/>
      </w:r>
      <w:r w:rsidRPr="00F25CD9">
        <w:rPr>
          <w:rFonts w:ascii="Times New Roman" w:hAnsi="Times New Roman" w:cs="Times New Roman"/>
        </w:rPr>
        <w:t xml:space="preserve"> Исследование выполнено при финансовой поддержке РФФИ в рамках научного проекта №18-29-14048</w:t>
      </w:r>
      <w:r w:rsidRPr="00F32223">
        <w:rPr>
          <w:rFonts w:ascii="Times New Roman" w:hAnsi="Times New Roman" w:cs="Times New Roman"/>
        </w:rPr>
        <w:t>.</w:t>
      </w:r>
    </w:p>
  </w:footnote>
  <w:footnote w:id="4">
    <w:p w14:paraId="2494C374" w14:textId="77777777" w:rsidR="00853BFE" w:rsidRPr="00F25CD9" w:rsidRDefault="00853BFE" w:rsidP="00853BFE">
      <w:pPr>
        <w:pStyle w:val="a4"/>
        <w:rPr>
          <w:rFonts w:ascii="Times New Roman" w:hAnsi="Times New Roman" w:cs="Times New Roman"/>
          <w:lang w:val="en-US"/>
        </w:rPr>
      </w:pPr>
      <w:r w:rsidRPr="00F25CD9">
        <w:rPr>
          <w:rStyle w:val="a6"/>
          <w:rFonts w:ascii="Times New Roman" w:hAnsi="Times New Roman" w:cs="Times New Roman"/>
        </w:rPr>
        <w:footnoteRef/>
      </w:r>
      <w:r w:rsidRPr="00F25CD9">
        <w:rPr>
          <w:rFonts w:ascii="Times New Roman" w:hAnsi="Times New Roman" w:cs="Times New Roman"/>
          <w:lang w:val="en-US"/>
        </w:rPr>
        <w:t xml:space="preserve"> This work was supported financially by RFBR (Project No.18-29-14048mk).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001A7"/>
    <w:multiLevelType w:val="hybridMultilevel"/>
    <w:tmpl w:val="47CCA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902960"/>
    <w:multiLevelType w:val="hybridMultilevel"/>
    <w:tmpl w:val="F6F6C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12547F"/>
    <w:multiLevelType w:val="hybridMultilevel"/>
    <w:tmpl w:val="B928AEC8"/>
    <w:numStyleLink w:val="a"/>
  </w:abstractNum>
  <w:abstractNum w:abstractNumId="3" w15:restartNumberingAfterBreak="0">
    <w:nsid w:val="21B5485E"/>
    <w:multiLevelType w:val="hybridMultilevel"/>
    <w:tmpl w:val="24F4F2F4"/>
    <w:lvl w:ilvl="0" w:tplc="0419000F">
      <w:start w:val="1"/>
      <w:numFmt w:val="decimal"/>
      <w:lvlText w:val="%1."/>
      <w:lvlJc w:val="left"/>
      <w:pPr>
        <w:tabs>
          <w:tab w:val="num" w:pos="5463"/>
        </w:tabs>
        <w:ind w:left="5463" w:hanging="360"/>
      </w:pPr>
      <w:rPr>
        <w:rFonts w:cs="Times New Roman"/>
      </w:rPr>
    </w:lvl>
    <w:lvl w:ilvl="1" w:tplc="04190019" w:tentative="1">
      <w:start w:val="1"/>
      <w:numFmt w:val="lowerLetter"/>
      <w:lvlText w:val="%2."/>
      <w:lvlJc w:val="left"/>
      <w:pPr>
        <w:tabs>
          <w:tab w:val="num" w:pos="2781"/>
        </w:tabs>
        <w:ind w:left="2781" w:hanging="360"/>
      </w:pPr>
      <w:rPr>
        <w:rFonts w:cs="Times New Roman"/>
      </w:rPr>
    </w:lvl>
    <w:lvl w:ilvl="2" w:tplc="0419001B" w:tentative="1">
      <w:start w:val="1"/>
      <w:numFmt w:val="lowerRoman"/>
      <w:lvlText w:val="%3."/>
      <w:lvlJc w:val="right"/>
      <w:pPr>
        <w:tabs>
          <w:tab w:val="num" w:pos="3501"/>
        </w:tabs>
        <w:ind w:left="3501" w:hanging="180"/>
      </w:pPr>
      <w:rPr>
        <w:rFonts w:cs="Times New Roman"/>
      </w:rPr>
    </w:lvl>
    <w:lvl w:ilvl="3" w:tplc="0419000F" w:tentative="1">
      <w:start w:val="1"/>
      <w:numFmt w:val="decimal"/>
      <w:lvlText w:val="%4."/>
      <w:lvlJc w:val="left"/>
      <w:pPr>
        <w:tabs>
          <w:tab w:val="num" w:pos="4221"/>
        </w:tabs>
        <w:ind w:left="4221" w:hanging="360"/>
      </w:pPr>
      <w:rPr>
        <w:rFonts w:cs="Times New Roman"/>
      </w:rPr>
    </w:lvl>
    <w:lvl w:ilvl="4" w:tplc="04190019" w:tentative="1">
      <w:start w:val="1"/>
      <w:numFmt w:val="lowerLetter"/>
      <w:lvlText w:val="%5."/>
      <w:lvlJc w:val="left"/>
      <w:pPr>
        <w:tabs>
          <w:tab w:val="num" w:pos="4941"/>
        </w:tabs>
        <w:ind w:left="4941" w:hanging="360"/>
      </w:pPr>
      <w:rPr>
        <w:rFonts w:cs="Times New Roman"/>
      </w:rPr>
    </w:lvl>
    <w:lvl w:ilvl="5" w:tplc="0419001B" w:tentative="1">
      <w:start w:val="1"/>
      <w:numFmt w:val="lowerRoman"/>
      <w:lvlText w:val="%6."/>
      <w:lvlJc w:val="right"/>
      <w:pPr>
        <w:tabs>
          <w:tab w:val="num" w:pos="5661"/>
        </w:tabs>
        <w:ind w:left="5661" w:hanging="180"/>
      </w:pPr>
      <w:rPr>
        <w:rFonts w:cs="Times New Roman"/>
      </w:rPr>
    </w:lvl>
    <w:lvl w:ilvl="6" w:tplc="0419000F" w:tentative="1">
      <w:start w:val="1"/>
      <w:numFmt w:val="decimal"/>
      <w:lvlText w:val="%7."/>
      <w:lvlJc w:val="left"/>
      <w:pPr>
        <w:tabs>
          <w:tab w:val="num" w:pos="6381"/>
        </w:tabs>
        <w:ind w:left="6381" w:hanging="360"/>
      </w:pPr>
      <w:rPr>
        <w:rFonts w:cs="Times New Roman"/>
      </w:rPr>
    </w:lvl>
    <w:lvl w:ilvl="7" w:tplc="04190019" w:tentative="1">
      <w:start w:val="1"/>
      <w:numFmt w:val="lowerLetter"/>
      <w:lvlText w:val="%8."/>
      <w:lvlJc w:val="left"/>
      <w:pPr>
        <w:tabs>
          <w:tab w:val="num" w:pos="7101"/>
        </w:tabs>
        <w:ind w:left="7101" w:hanging="360"/>
      </w:pPr>
      <w:rPr>
        <w:rFonts w:cs="Times New Roman"/>
      </w:rPr>
    </w:lvl>
    <w:lvl w:ilvl="8" w:tplc="0419001B" w:tentative="1">
      <w:start w:val="1"/>
      <w:numFmt w:val="lowerRoman"/>
      <w:lvlText w:val="%9."/>
      <w:lvlJc w:val="right"/>
      <w:pPr>
        <w:tabs>
          <w:tab w:val="num" w:pos="7821"/>
        </w:tabs>
        <w:ind w:left="7821" w:hanging="180"/>
      </w:pPr>
      <w:rPr>
        <w:rFonts w:cs="Times New Roman"/>
      </w:rPr>
    </w:lvl>
  </w:abstractNum>
  <w:abstractNum w:abstractNumId="4" w15:restartNumberingAfterBreak="0">
    <w:nsid w:val="261824E0"/>
    <w:multiLevelType w:val="hybridMultilevel"/>
    <w:tmpl w:val="C0DA0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384917"/>
    <w:multiLevelType w:val="hybridMultilevel"/>
    <w:tmpl w:val="64660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DB71B8"/>
    <w:multiLevelType w:val="hybridMultilevel"/>
    <w:tmpl w:val="6EE6EC82"/>
    <w:lvl w:ilvl="0" w:tplc="5A1A34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21D385F"/>
    <w:multiLevelType w:val="hybridMultilevel"/>
    <w:tmpl w:val="95CE6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7372E6"/>
    <w:multiLevelType w:val="hybridMultilevel"/>
    <w:tmpl w:val="A48AC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EE7D2D"/>
    <w:multiLevelType w:val="hybridMultilevel"/>
    <w:tmpl w:val="D6D4F9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680D0D"/>
    <w:multiLevelType w:val="hybridMultilevel"/>
    <w:tmpl w:val="B928AEC8"/>
    <w:styleLink w:val="a"/>
    <w:lvl w:ilvl="0" w:tplc="B56A30FA">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544C3F3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E4567E3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86946102">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191EE86C">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35BCC19A">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A2FE722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EB42F88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342BC4">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11" w15:restartNumberingAfterBreak="0">
    <w:nsid w:val="4A0E4152"/>
    <w:multiLevelType w:val="hybridMultilevel"/>
    <w:tmpl w:val="5C76AF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1A7025"/>
    <w:multiLevelType w:val="hybridMultilevel"/>
    <w:tmpl w:val="32DEF9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F7071B"/>
    <w:multiLevelType w:val="hybridMultilevel"/>
    <w:tmpl w:val="CB5AC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4E0EC4"/>
    <w:multiLevelType w:val="hybridMultilevel"/>
    <w:tmpl w:val="2A267D8E"/>
    <w:lvl w:ilvl="0" w:tplc="D3F28F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00B06DD"/>
    <w:multiLevelType w:val="hybridMultilevel"/>
    <w:tmpl w:val="E78A42D4"/>
    <w:lvl w:ilvl="0" w:tplc="FABC8D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3F237DE"/>
    <w:multiLevelType w:val="hybridMultilevel"/>
    <w:tmpl w:val="8E48EB38"/>
    <w:lvl w:ilvl="0" w:tplc="429A7EF8">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99E2E53"/>
    <w:multiLevelType w:val="hybridMultilevel"/>
    <w:tmpl w:val="BBAAF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DE8383A"/>
    <w:multiLevelType w:val="multilevel"/>
    <w:tmpl w:val="8624B1EA"/>
    <w:lvl w:ilvl="0">
      <w:start w:val="1"/>
      <w:numFmt w:val="decimal"/>
      <w:lvlText w:val="%1."/>
      <w:lvlJc w:val="left"/>
      <w:pPr>
        <w:ind w:left="492" w:hanging="49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6FD50C6C"/>
    <w:multiLevelType w:val="hybridMultilevel"/>
    <w:tmpl w:val="659CA896"/>
    <w:lvl w:ilvl="0" w:tplc="06EE11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FED19FA"/>
    <w:multiLevelType w:val="hybridMultilevel"/>
    <w:tmpl w:val="2D56C864"/>
    <w:lvl w:ilvl="0" w:tplc="3A0C45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34B48EF"/>
    <w:multiLevelType w:val="hybridMultilevel"/>
    <w:tmpl w:val="89A6371A"/>
    <w:lvl w:ilvl="0" w:tplc="1604F2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D156D89"/>
    <w:multiLevelType w:val="hybridMultilevel"/>
    <w:tmpl w:val="90E413A0"/>
    <w:lvl w:ilvl="0" w:tplc="878698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D7B3CBB"/>
    <w:multiLevelType w:val="hybridMultilevel"/>
    <w:tmpl w:val="64660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DBB5126"/>
    <w:multiLevelType w:val="hybridMultilevel"/>
    <w:tmpl w:val="AFC6F45A"/>
    <w:lvl w:ilvl="0" w:tplc="E772A8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907963073">
    <w:abstractNumId w:val="9"/>
  </w:num>
  <w:num w:numId="2" w16cid:durableId="1284270089">
    <w:abstractNumId w:val="1"/>
  </w:num>
  <w:num w:numId="3" w16cid:durableId="1660962324">
    <w:abstractNumId w:val="17"/>
  </w:num>
  <w:num w:numId="4" w16cid:durableId="1083186293">
    <w:abstractNumId w:val="3"/>
  </w:num>
  <w:num w:numId="5" w16cid:durableId="1802838751">
    <w:abstractNumId w:val="16"/>
  </w:num>
  <w:num w:numId="6" w16cid:durableId="26873520">
    <w:abstractNumId w:val="11"/>
  </w:num>
  <w:num w:numId="7" w16cid:durableId="990256076">
    <w:abstractNumId w:val="12"/>
  </w:num>
  <w:num w:numId="8" w16cid:durableId="586884731">
    <w:abstractNumId w:val="18"/>
  </w:num>
  <w:num w:numId="9" w16cid:durableId="2041738827">
    <w:abstractNumId w:val="5"/>
  </w:num>
  <w:num w:numId="10" w16cid:durableId="1614944933">
    <w:abstractNumId w:val="23"/>
  </w:num>
  <w:num w:numId="11" w16cid:durableId="1698889980">
    <w:abstractNumId w:val="0"/>
  </w:num>
  <w:num w:numId="12" w16cid:durableId="1962758976">
    <w:abstractNumId w:val="15"/>
  </w:num>
  <w:num w:numId="13" w16cid:durableId="1935820236">
    <w:abstractNumId w:val="22"/>
  </w:num>
  <w:num w:numId="14" w16cid:durableId="1394305539">
    <w:abstractNumId w:val="19"/>
  </w:num>
  <w:num w:numId="15" w16cid:durableId="952514650">
    <w:abstractNumId w:val="14"/>
  </w:num>
  <w:num w:numId="16" w16cid:durableId="318117900">
    <w:abstractNumId w:val="24"/>
  </w:num>
  <w:num w:numId="17" w16cid:durableId="1036585671">
    <w:abstractNumId w:val="20"/>
  </w:num>
  <w:num w:numId="18" w16cid:durableId="409815231">
    <w:abstractNumId w:val="21"/>
  </w:num>
  <w:num w:numId="19" w16cid:durableId="2120955313">
    <w:abstractNumId w:val="6"/>
  </w:num>
  <w:num w:numId="20" w16cid:durableId="242298473">
    <w:abstractNumId w:val="4"/>
  </w:num>
  <w:num w:numId="21" w16cid:durableId="646054432">
    <w:abstractNumId w:val="8"/>
  </w:num>
  <w:num w:numId="22" w16cid:durableId="915239962">
    <w:abstractNumId w:val="13"/>
  </w:num>
  <w:num w:numId="23" w16cid:durableId="1498421762">
    <w:abstractNumId w:val="10"/>
  </w:num>
  <w:num w:numId="24" w16cid:durableId="1689793046">
    <w:abstractNumId w:val="2"/>
  </w:num>
  <w:num w:numId="25" w16cid:durableId="9320110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85"/>
    <w:rsid w:val="00015985"/>
    <w:rsid w:val="0006177F"/>
    <w:rsid w:val="00086D02"/>
    <w:rsid w:val="000E5CDB"/>
    <w:rsid w:val="003338B3"/>
    <w:rsid w:val="003412E9"/>
    <w:rsid w:val="00347281"/>
    <w:rsid w:val="003578B6"/>
    <w:rsid w:val="005007ED"/>
    <w:rsid w:val="00853BFE"/>
    <w:rsid w:val="0092421C"/>
    <w:rsid w:val="0092772D"/>
    <w:rsid w:val="00982075"/>
    <w:rsid w:val="009E53B4"/>
    <w:rsid w:val="00B80A1A"/>
    <w:rsid w:val="00C15BCD"/>
    <w:rsid w:val="00CD1EFA"/>
    <w:rsid w:val="00DD5667"/>
    <w:rsid w:val="00F91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9CCB93"/>
  <w15:chartTrackingRefBased/>
  <w15:docId w15:val="{6B03F736-C711-411F-8D35-15EF40B79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2421C"/>
  </w:style>
  <w:style w:type="paragraph" w:styleId="1">
    <w:name w:val="heading 1"/>
    <w:basedOn w:val="a0"/>
    <w:next w:val="a0"/>
    <w:link w:val="10"/>
    <w:uiPriority w:val="9"/>
    <w:qFormat/>
    <w:rsid w:val="00C15B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5">
    <w:name w:val="heading 5"/>
    <w:basedOn w:val="a0"/>
    <w:link w:val="50"/>
    <w:uiPriority w:val="99"/>
    <w:qFormat/>
    <w:rsid w:val="00C15BCD"/>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15BCD"/>
    <w:rPr>
      <w:rFonts w:asciiTheme="majorHAnsi" w:eastAsiaTheme="majorEastAsia" w:hAnsiTheme="majorHAnsi" w:cstheme="majorBidi"/>
      <w:color w:val="2F5496" w:themeColor="accent1" w:themeShade="BF"/>
      <w:sz w:val="32"/>
      <w:szCs w:val="32"/>
    </w:rPr>
  </w:style>
  <w:style w:type="character" w:customStyle="1" w:styleId="50">
    <w:name w:val="Заголовок 5 Знак"/>
    <w:basedOn w:val="a1"/>
    <w:link w:val="5"/>
    <w:uiPriority w:val="99"/>
    <w:rsid w:val="00C15BCD"/>
    <w:rPr>
      <w:rFonts w:ascii="Times New Roman" w:eastAsia="Times New Roman" w:hAnsi="Times New Roman" w:cs="Times New Roman"/>
      <w:b/>
      <w:bCs/>
      <w:sz w:val="20"/>
      <w:szCs w:val="20"/>
      <w:lang w:eastAsia="ru-RU"/>
    </w:rPr>
  </w:style>
  <w:style w:type="paragraph" w:styleId="a4">
    <w:name w:val="footnote text"/>
    <w:basedOn w:val="a0"/>
    <w:link w:val="a5"/>
    <w:uiPriority w:val="99"/>
    <w:unhideWhenUsed/>
    <w:rsid w:val="00C15BCD"/>
    <w:pPr>
      <w:spacing w:after="0" w:line="240" w:lineRule="auto"/>
    </w:pPr>
    <w:rPr>
      <w:sz w:val="20"/>
      <w:szCs w:val="20"/>
    </w:rPr>
  </w:style>
  <w:style w:type="character" w:customStyle="1" w:styleId="a5">
    <w:name w:val="Текст сноски Знак"/>
    <w:basedOn w:val="a1"/>
    <w:link w:val="a4"/>
    <w:uiPriority w:val="99"/>
    <w:rsid w:val="00C15BCD"/>
    <w:rPr>
      <w:sz w:val="20"/>
      <w:szCs w:val="20"/>
    </w:rPr>
  </w:style>
  <w:style w:type="character" w:styleId="a6">
    <w:name w:val="footnote reference"/>
    <w:basedOn w:val="a1"/>
    <w:uiPriority w:val="99"/>
    <w:unhideWhenUsed/>
    <w:rsid w:val="00C15BCD"/>
    <w:rPr>
      <w:vertAlign w:val="superscript"/>
    </w:rPr>
  </w:style>
  <w:style w:type="paragraph" w:styleId="a7">
    <w:name w:val="List Paragraph"/>
    <w:basedOn w:val="a0"/>
    <w:uiPriority w:val="34"/>
    <w:qFormat/>
    <w:rsid w:val="00C15BCD"/>
    <w:pPr>
      <w:spacing w:after="0" w:line="240" w:lineRule="auto"/>
      <w:ind w:left="720"/>
      <w:contextualSpacing/>
    </w:pPr>
    <w:rPr>
      <w:rFonts w:ascii="Times New Roman" w:eastAsia="Calibri" w:hAnsi="Times New Roman" w:cs="Times New Roman"/>
      <w:sz w:val="24"/>
      <w:lang w:val="pl-PL"/>
    </w:rPr>
  </w:style>
  <w:style w:type="paragraph" w:customStyle="1" w:styleId="ConsNormal">
    <w:name w:val="ConsNormal"/>
    <w:rsid w:val="00C15BC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8">
    <w:name w:val="Hyperlink"/>
    <w:basedOn w:val="a1"/>
    <w:uiPriority w:val="99"/>
    <w:unhideWhenUsed/>
    <w:rsid w:val="00C15BCD"/>
    <w:rPr>
      <w:color w:val="0000FF"/>
      <w:u w:val="single"/>
    </w:rPr>
  </w:style>
  <w:style w:type="paragraph" w:styleId="a9">
    <w:name w:val="endnote text"/>
    <w:basedOn w:val="a0"/>
    <w:link w:val="aa"/>
    <w:uiPriority w:val="99"/>
    <w:semiHidden/>
    <w:unhideWhenUsed/>
    <w:rsid w:val="00C15BCD"/>
    <w:pPr>
      <w:spacing w:after="0" w:line="240" w:lineRule="auto"/>
    </w:pPr>
    <w:rPr>
      <w:sz w:val="20"/>
      <w:szCs w:val="20"/>
    </w:rPr>
  </w:style>
  <w:style w:type="character" w:customStyle="1" w:styleId="aa">
    <w:name w:val="Текст концевой сноски Знак"/>
    <w:basedOn w:val="a1"/>
    <w:link w:val="a9"/>
    <w:uiPriority w:val="99"/>
    <w:semiHidden/>
    <w:rsid w:val="00C15BCD"/>
    <w:rPr>
      <w:sz w:val="20"/>
      <w:szCs w:val="20"/>
    </w:rPr>
  </w:style>
  <w:style w:type="character" w:styleId="ab">
    <w:name w:val="endnote reference"/>
    <w:basedOn w:val="a1"/>
    <w:uiPriority w:val="99"/>
    <w:semiHidden/>
    <w:unhideWhenUsed/>
    <w:rsid w:val="00C15BCD"/>
    <w:rPr>
      <w:vertAlign w:val="superscript"/>
    </w:rPr>
  </w:style>
  <w:style w:type="paragraph" w:styleId="ac">
    <w:name w:val="header"/>
    <w:basedOn w:val="a0"/>
    <w:link w:val="ad"/>
    <w:uiPriority w:val="99"/>
    <w:unhideWhenUsed/>
    <w:rsid w:val="00C15BCD"/>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C15BCD"/>
  </w:style>
  <w:style w:type="paragraph" w:styleId="ae">
    <w:name w:val="footer"/>
    <w:basedOn w:val="a0"/>
    <w:link w:val="af"/>
    <w:uiPriority w:val="99"/>
    <w:unhideWhenUsed/>
    <w:rsid w:val="00C15BCD"/>
    <w:pPr>
      <w:tabs>
        <w:tab w:val="center" w:pos="4677"/>
        <w:tab w:val="right" w:pos="9355"/>
      </w:tabs>
      <w:spacing w:after="0" w:line="240" w:lineRule="auto"/>
    </w:pPr>
  </w:style>
  <w:style w:type="character" w:customStyle="1" w:styleId="af">
    <w:name w:val="Нижний колонтитул Знак"/>
    <w:basedOn w:val="a1"/>
    <w:link w:val="ae"/>
    <w:uiPriority w:val="99"/>
    <w:rsid w:val="00C15BCD"/>
  </w:style>
  <w:style w:type="paragraph" w:customStyle="1" w:styleId="Default">
    <w:name w:val="Default"/>
    <w:rsid w:val="00C15BCD"/>
    <w:pPr>
      <w:autoSpaceDE w:val="0"/>
      <w:autoSpaceDN w:val="0"/>
      <w:adjustRightInd w:val="0"/>
      <w:spacing w:after="0" w:line="240" w:lineRule="auto"/>
    </w:pPr>
    <w:rPr>
      <w:rFonts w:ascii="NewtonC" w:hAnsi="NewtonC" w:cs="NewtonC"/>
      <w:color w:val="000000"/>
      <w:sz w:val="24"/>
      <w:szCs w:val="24"/>
    </w:rPr>
  </w:style>
  <w:style w:type="paragraph" w:styleId="af0">
    <w:name w:val="Body Text"/>
    <w:link w:val="af1"/>
    <w:rsid w:val="00C15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rPr>
  </w:style>
  <w:style w:type="character" w:customStyle="1" w:styleId="af1">
    <w:name w:val="Основной текст Знак"/>
    <w:basedOn w:val="a1"/>
    <w:link w:val="af0"/>
    <w:rsid w:val="00C15BCD"/>
    <w:rPr>
      <w:rFonts w:ascii="Helvetica Neue" w:eastAsia="Arial Unicode MS" w:hAnsi="Helvetica Neue" w:cs="Arial Unicode MS"/>
      <w:color w:val="000000"/>
      <w:bdr w:val="nil"/>
      <w:lang w:eastAsia="ru-RU"/>
    </w:rPr>
  </w:style>
  <w:style w:type="numbering" w:customStyle="1" w:styleId="a">
    <w:name w:val="Тире"/>
    <w:rsid w:val="00C15BCD"/>
    <w:pPr>
      <w:numPr>
        <w:numId w:val="23"/>
      </w:numPr>
    </w:pPr>
  </w:style>
  <w:style w:type="character" w:styleId="af2">
    <w:name w:val="annotation reference"/>
    <w:basedOn w:val="a1"/>
    <w:uiPriority w:val="99"/>
    <w:semiHidden/>
    <w:unhideWhenUsed/>
    <w:rsid w:val="00C15BCD"/>
    <w:rPr>
      <w:sz w:val="16"/>
      <w:szCs w:val="16"/>
    </w:rPr>
  </w:style>
  <w:style w:type="paragraph" w:styleId="af3">
    <w:name w:val="annotation text"/>
    <w:basedOn w:val="a0"/>
    <w:link w:val="af4"/>
    <w:uiPriority w:val="99"/>
    <w:semiHidden/>
    <w:unhideWhenUsed/>
    <w:rsid w:val="00C15BCD"/>
    <w:pPr>
      <w:spacing w:line="240" w:lineRule="auto"/>
    </w:pPr>
    <w:rPr>
      <w:sz w:val="20"/>
      <w:szCs w:val="20"/>
    </w:rPr>
  </w:style>
  <w:style w:type="character" w:customStyle="1" w:styleId="af4">
    <w:name w:val="Текст примечания Знак"/>
    <w:basedOn w:val="a1"/>
    <w:link w:val="af3"/>
    <w:uiPriority w:val="99"/>
    <w:semiHidden/>
    <w:rsid w:val="00C15BCD"/>
    <w:rPr>
      <w:sz w:val="20"/>
      <w:szCs w:val="20"/>
    </w:rPr>
  </w:style>
  <w:style w:type="paragraph" w:styleId="af5">
    <w:name w:val="annotation subject"/>
    <w:basedOn w:val="af3"/>
    <w:next w:val="af3"/>
    <w:link w:val="af6"/>
    <w:uiPriority w:val="99"/>
    <w:semiHidden/>
    <w:unhideWhenUsed/>
    <w:rsid w:val="00C15BCD"/>
    <w:rPr>
      <w:b/>
      <w:bCs/>
    </w:rPr>
  </w:style>
  <w:style w:type="character" w:customStyle="1" w:styleId="af6">
    <w:name w:val="Тема примечания Знак"/>
    <w:basedOn w:val="af4"/>
    <w:link w:val="af5"/>
    <w:uiPriority w:val="99"/>
    <w:semiHidden/>
    <w:rsid w:val="00C15BCD"/>
    <w:rPr>
      <w:b/>
      <w:bCs/>
      <w:sz w:val="20"/>
      <w:szCs w:val="20"/>
    </w:rPr>
  </w:style>
  <w:style w:type="character" w:styleId="af7">
    <w:name w:val="Unresolved Mention"/>
    <w:basedOn w:val="a1"/>
    <w:uiPriority w:val="99"/>
    <w:semiHidden/>
    <w:unhideWhenUsed/>
    <w:rsid w:val="00C15BCD"/>
    <w:rPr>
      <w:color w:val="605E5C"/>
      <w:shd w:val="clear" w:color="auto" w:fill="E1DFDD"/>
    </w:rPr>
  </w:style>
  <w:style w:type="character" w:customStyle="1" w:styleId="FontStyle208">
    <w:name w:val="Font Style208"/>
    <w:semiHidden/>
    <w:rsid w:val="00C15BCD"/>
    <w:rPr>
      <w:rFonts w:ascii="Times New Roman" w:hAnsi="Times New Roman" w:cs="Times New Roman"/>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54</Pages>
  <Words>12784</Words>
  <Characters>89236</Characters>
  <Application>Microsoft Office Word</Application>
  <DocSecurity>0</DocSecurity>
  <Lines>1622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Каринэ Амбарцумян</dc:creator>
  <cp:keywords/>
  <dc:description/>
  <cp:lastModifiedBy>Каринэ Амбарцумян</cp:lastModifiedBy>
  <cp:revision>12</cp:revision>
  <dcterms:created xsi:type="dcterms:W3CDTF">2022-08-13T23:23:00Z</dcterms:created>
  <dcterms:modified xsi:type="dcterms:W3CDTF">2022-08-30T11:42:00Z</dcterms:modified>
</cp:coreProperties>
</file>