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12C2D" w14:textId="77777777" w:rsidR="005E07C2" w:rsidRPr="00B17A99" w:rsidRDefault="005E07C2" w:rsidP="005E07C2">
      <w:pPr>
        <w:spacing w:after="0" w:line="240" w:lineRule="auto"/>
        <w:jc w:val="center"/>
        <w:rPr>
          <w:rFonts w:ascii="Times New Roman" w:hAnsi="Times New Roman" w:cs="Times New Roman"/>
          <w:b/>
          <w:sz w:val="28"/>
          <w:szCs w:val="28"/>
        </w:rPr>
      </w:pPr>
      <w:r w:rsidRPr="00982D01">
        <w:rPr>
          <w:rFonts w:ascii="Times New Roman" w:hAnsi="Times New Roman" w:cs="Times New Roman"/>
          <w:b/>
          <w:sz w:val="28"/>
          <w:szCs w:val="28"/>
        </w:rPr>
        <w:t>ИСТОРИЧЕСКИЕ</w:t>
      </w:r>
      <w:r w:rsidRPr="00B17A99">
        <w:rPr>
          <w:rFonts w:ascii="Times New Roman" w:hAnsi="Times New Roman" w:cs="Times New Roman"/>
          <w:b/>
          <w:sz w:val="28"/>
          <w:szCs w:val="28"/>
        </w:rPr>
        <w:t xml:space="preserve"> </w:t>
      </w:r>
      <w:r w:rsidRPr="00982D01">
        <w:rPr>
          <w:rFonts w:ascii="Times New Roman" w:hAnsi="Times New Roman" w:cs="Times New Roman"/>
          <w:b/>
          <w:sz w:val="28"/>
          <w:szCs w:val="28"/>
        </w:rPr>
        <w:t>НАУКИ</w:t>
      </w:r>
    </w:p>
    <w:p w14:paraId="7B739B8E" w14:textId="77777777" w:rsidR="005E07C2" w:rsidRPr="005E07C2" w:rsidRDefault="005E07C2" w:rsidP="005E07C2">
      <w:pPr>
        <w:spacing w:after="0" w:line="360" w:lineRule="auto"/>
        <w:ind w:firstLine="709"/>
        <w:contextualSpacing/>
        <w:rPr>
          <w:rFonts w:ascii="Times New Roman" w:eastAsia="Calibri" w:hAnsi="Times New Roman" w:cs="Times New Roman"/>
          <w:b/>
          <w:bCs/>
          <w:sz w:val="28"/>
          <w:szCs w:val="28"/>
        </w:rPr>
      </w:pPr>
      <w:r w:rsidRPr="005E07C2">
        <w:rPr>
          <w:rFonts w:ascii="Times New Roman" w:eastAsia="Calibri" w:hAnsi="Times New Roman" w:cs="Times New Roman"/>
          <w:b/>
          <w:bCs/>
          <w:sz w:val="28"/>
          <w:szCs w:val="28"/>
        </w:rPr>
        <w:t>УДК 94(47).084.5</w:t>
      </w:r>
    </w:p>
    <w:p w14:paraId="2346AD14" w14:textId="14EA4C08" w:rsidR="005E07C2" w:rsidRPr="00092EC3" w:rsidRDefault="005E07C2" w:rsidP="005E07C2">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http://doi.org/10.37493/2409-1030.2022.4.1</w:t>
      </w:r>
    </w:p>
    <w:p w14:paraId="696A8FB6" w14:textId="77777777" w:rsidR="005E07C2" w:rsidRPr="003D3156" w:rsidRDefault="005E07C2" w:rsidP="005E07C2">
      <w:pPr>
        <w:spacing w:after="0" w:line="360" w:lineRule="auto"/>
        <w:ind w:firstLine="709"/>
        <w:contextualSpacing/>
        <w:jc w:val="right"/>
        <w:rPr>
          <w:rFonts w:ascii="Times New Roman" w:eastAsia="Calibri" w:hAnsi="Times New Roman" w:cs="Times New Roman"/>
          <w:b/>
          <w:bCs/>
          <w:sz w:val="28"/>
          <w:szCs w:val="28"/>
        </w:rPr>
      </w:pPr>
      <w:r w:rsidRPr="003D3156">
        <w:rPr>
          <w:rFonts w:ascii="Times New Roman" w:eastAsia="Calibri" w:hAnsi="Times New Roman" w:cs="Times New Roman"/>
          <w:b/>
          <w:bCs/>
          <w:sz w:val="28"/>
          <w:szCs w:val="28"/>
        </w:rPr>
        <w:t>К.Р. Амбарцумян</w:t>
      </w:r>
    </w:p>
    <w:p w14:paraId="381822D8" w14:textId="77777777" w:rsidR="005E07C2" w:rsidRPr="003D3156" w:rsidRDefault="005E07C2" w:rsidP="005E07C2">
      <w:pPr>
        <w:spacing w:after="0" w:line="360" w:lineRule="auto"/>
        <w:ind w:firstLine="709"/>
        <w:contextualSpacing/>
        <w:jc w:val="center"/>
        <w:rPr>
          <w:rFonts w:ascii="Times New Roman" w:eastAsia="Calibri" w:hAnsi="Times New Roman" w:cs="Times New Roman"/>
          <w:b/>
          <w:bCs/>
          <w:sz w:val="28"/>
          <w:szCs w:val="28"/>
        </w:rPr>
      </w:pPr>
      <w:r w:rsidRPr="003D3156">
        <w:rPr>
          <w:rFonts w:ascii="Times New Roman" w:eastAsia="Calibri" w:hAnsi="Times New Roman" w:cs="Times New Roman"/>
          <w:b/>
          <w:bCs/>
          <w:sz w:val="28"/>
          <w:szCs w:val="28"/>
        </w:rPr>
        <w:t>СОВЕТСКИЙ ПРОЕКТ «НОВЫЙ ЧЕЛОВЕК»</w:t>
      </w:r>
    </w:p>
    <w:p w14:paraId="10FD7743" w14:textId="77777777" w:rsidR="005E07C2" w:rsidRPr="003D3156" w:rsidRDefault="005E07C2" w:rsidP="005E07C2">
      <w:pPr>
        <w:spacing w:after="0" w:line="360" w:lineRule="auto"/>
        <w:ind w:firstLine="709"/>
        <w:contextualSpacing/>
        <w:jc w:val="center"/>
        <w:rPr>
          <w:rFonts w:ascii="Times New Roman" w:eastAsia="Calibri" w:hAnsi="Times New Roman" w:cs="Times New Roman"/>
          <w:b/>
          <w:bCs/>
          <w:sz w:val="28"/>
          <w:szCs w:val="28"/>
        </w:rPr>
      </w:pPr>
      <w:r w:rsidRPr="003D3156">
        <w:rPr>
          <w:rFonts w:ascii="Times New Roman" w:eastAsia="Calibri" w:hAnsi="Times New Roman" w:cs="Times New Roman"/>
          <w:b/>
          <w:bCs/>
          <w:sz w:val="28"/>
          <w:szCs w:val="28"/>
        </w:rPr>
        <w:t>И ПРЕПОДАВАНИЕ ИСТОРИИ И ОБЩЕСТВОВЕДЕНИЯ:</w:t>
      </w:r>
    </w:p>
    <w:p w14:paraId="66D5010E" w14:textId="77777777" w:rsidR="005E07C2" w:rsidRPr="003D3156" w:rsidRDefault="005E07C2" w:rsidP="005E07C2">
      <w:pPr>
        <w:spacing w:after="0" w:line="360" w:lineRule="auto"/>
        <w:ind w:firstLine="709"/>
        <w:contextualSpacing/>
        <w:jc w:val="center"/>
        <w:rPr>
          <w:rFonts w:ascii="Times New Roman" w:eastAsia="Calibri" w:hAnsi="Times New Roman" w:cs="Times New Roman"/>
          <w:b/>
          <w:bCs/>
          <w:sz w:val="28"/>
          <w:szCs w:val="28"/>
        </w:rPr>
      </w:pPr>
      <w:r w:rsidRPr="003D3156">
        <w:rPr>
          <w:rFonts w:ascii="Times New Roman" w:eastAsia="Calibri" w:hAnsi="Times New Roman" w:cs="Times New Roman"/>
          <w:b/>
          <w:bCs/>
          <w:sz w:val="28"/>
          <w:szCs w:val="28"/>
        </w:rPr>
        <w:t>К ВОПРОСУ О ДИСКУССИЯХ НА СТРАНИЦАХ ЖУРНАЛА «ИСТОРИК-МАРКСИСТ». 1926 – 1928 годы</w:t>
      </w:r>
      <w:r>
        <w:rPr>
          <w:rStyle w:val="a5"/>
          <w:rFonts w:ascii="Times New Roman" w:eastAsia="Calibri" w:hAnsi="Times New Roman" w:cs="Times New Roman"/>
          <w:b/>
          <w:bCs/>
          <w:sz w:val="28"/>
          <w:szCs w:val="28"/>
        </w:rPr>
        <w:footnoteReference w:id="1"/>
      </w:r>
    </w:p>
    <w:p w14:paraId="14966D60" w14:textId="77777777" w:rsidR="005E07C2" w:rsidRPr="003D3156" w:rsidRDefault="005E07C2" w:rsidP="005E07C2">
      <w:pPr>
        <w:spacing w:after="0" w:line="360" w:lineRule="auto"/>
        <w:ind w:firstLine="709"/>
        <w:contextualSpacing/>
        <w:jc w:val="both"/>
        <w:rPr>
          <w:rFonts w:ascii="Times New Roman" w:eastAsia="Calibri" w:hAnsi="Times New Roman" w:cs="Times New Roman"/>
          <w:sz w:val="28"/>
          <w:szCs w:val="28"/>
        </w:rPr>
      </w:pPr>
      <w:r w:rsidRPr="003D3156">
        <w:rPr>
          <w:rFonts w:ascii="Times New Roman" w:eastAsia="Calibri" w:hAnsi="Times New Roman" w:cs="Times New Roman"/>
          <w:sz w:val="28"/>
          <w:szCs w:val="28"/>
        </w:rPr>
        <w:t xml:space="preserve">Работа посвящена изучению истоков трансформации преподавания истории в советском образовании к началу 1930-х годов в контексте постепенной смены политического курса власти, связанной с идеологическими требованиями формирования советской социальной идентичности. Проект создания «нового человека» был подчинен в основном идее создания социалистического государства и являлся инструментом этого созидания. Через 10 лет после установления власти большевиков среди комплекса черт нового человека на первый план были выдвинуты усилия по созданию социального единства граждан СССР через формирование советской идентичности. Одним из условий успешного выполнения этой задачи было формирование нужной модели исторической памяти. В связи с этим менялась роль исторической науки в обществе, что в свою очередь требовало изменений в преподавании истории в школах разной ступени, рабфаках и вузах. Сюжет статьи содержит анализ дискуссий, начавшихся в связи с созданием Общества историков-марксистов. Проблема формирования «нового человека» в них прямо не озвучивалась, но подспудно присутствовала. В самом идеологическом дискурсе «новый человек» виделся как искомая цель советской социальной инженерии, но определенного единого плана по ее достижению предложено не было. В этой связи дискуссии среди историков-марксистов о преподавании истории (которая фактически не </w:t>
      </w:r>
      <w:r w:rsidRPr="003D3156">
        <w:rPr>
          <w:rFonts w:ascii="Times New Roman" w:eastAsia="Calibri" w:hAnsi="Times New Roman" w:cs="Times New Roman"/>
          <w:sz w:val="28"/>
          <w:szCs w:val="28"/>
        </w:rPr>
        <w:lastRenderedPageBreak/>
        <w:t xml:space="preserve">преподавалась) начались с обозначения цели – формирование человека с марксистским мировоззрением, революционера, ленинца. Однако, по мере реализации так называемого лабораторного плана, оказалось, что на практике нет исторических знаний и нет исторического мышления, даже в том виде, который необходим для усвоения марксизма. Суть самих дискуссий фактически ушла от идеологии и свелась к рационального обсуждению проблем преподавания истории и обществоведения. Таким образом, к 1928 г. в обсуждениях все больше звучит необходимость систематической истории на разных образовательных уровнях. </w:t>
      </w:r>
    </w:p>
    <w:p w14:paraId="69EEB5F1" w14:textId="77777777" w:rsidR="005E07C2" w:rsidRDefault="005E07C2" w:rsidP="005E07C2">
      <w:pPr>
        <w:spacing w:after="0" w:line="360" w:lineRule="auto"/>
        <w:ind w:firstLine="709"/>
        <w:contextualSpacing/>
        <w:jc w:val="both"/>
        <w:rPr>
          <w:rFonts w:ascii="Times New Roman" w:eastAsia="Calibri" w:hAnsi="Times New Roman" w:cs="Times New Roman"/>
          <w:sz w:val="28"/>
          <w:szCs w:val="28"/>
        </w:rPr>
      </w:pPr>
      <w:r w:rsidRPr="003D3156">
        <w:rPr>
          <w:rFonts w:ascii="Times New Roman" w:eastAsia="Calibri" w:hAnsi="Times New Roman" w:cs="Times New Roman"/>
          <w:b/>
          <w:bCs/>
          <w:sz w:val="28"/>
          <w:szCs w:val="28"/>
        </w:rPr>
        <w:t>Ключевые слова:</w:t>
      </w:r>
      <w:r w:rsidRPr="003D3156">
        <w:rPr>
          <w:rFonts w:ascii="Times New Roman" w:eastAsia="Calibri" w:hAnsi="Times New Roman" w:cs="Times New Roman"/>
          <w:sz w:val="28"/>
          <w:szCs w:val="28"/>
        </w:rPr>
        <w:t xml:space="preserve"> новый человек, «советский человек», преподавание общественных наук, история как учебный предмет, историческая память, методика преподавания истории, социальная идентичность  </w:t>
      </w:r>
    </w:p>
    <w:p w14:paraId="380C12EB" w14:textId="77777777" w:rsidR="005E07C2" w:rsidRPr="003D3156" w:rsidRDefault="005E07C2" w:rsidP="005E07C2">
      <w:pPr>
        <w:spacing w:after="0" w:line="360" w:lineRule="auto"/>
        <w:ind w:firstLine="709"/>
        <w:contextualSpacing/>
        <w:jc w:val="right"/>
        <w:rPr>
          <w:rFonts w:ascii="Times New Roman" w:eastAsia="Calibri" w:hAnsi="Times New Roman" w:cs="Times New Roman"/>
          <w:b/>
          <w:sz w:val="28"/>
          <w:szCs w:val="28"/>
          <w:lang w:val="en-US"/>
        </w:rPr>
      </w:pPr>
      <w:r w:rsidRPr="003D3156">
        <w:rPr>
          <w:rFonts w:ascii="Times New Roman" w:eastAsia="Calibri" w:hAnsi="Times New Roman" w:cs="Times New Roman"/>
          <w:b/>
          <w:sz w:val="28"/>
          <w:szCs w:val="28"/>
          <w:lang w:val="en-US"/>
        </w:rPr>
        <w:t>Karine R. Ambartsumyan</w:t>
      </w:r>
    </w:p>
    <w:p w14:paraId="423E8A34" w14:textId="77777777" w:rsidR="005E07C2" w:rsidRPr="003D3156" w:rsidRDefault="005E07C2" w:rsidP="005E07C2">
      <w:pPr>
        <w:spacing w:after="0" w:line="360" w:lineRule="auto"/>
        <w:contextualSpacing/>
        <w:jc w:val="center"/>
        <w:rPr>
          <w:rFonts w:ascii="Times New Roman" w:eastAsia="Calibri" w:hAnsi="Times New Roman" w:cs="Times New Roman"/>
          <w:b/>
          <w:bCs/>
          <w:sz w:val="28"/>
          <w:szCs w:val="28"/>
          <w:lang w:val="en-US"/>
        </w:rPr>
      </w:pPr>
      <w:r w:rsidRPr="003D3156">
        <w:rPr>
          <w:rFonts w:ascii="Times New Roman" w:eastAsia="Calibri" w:hAnsi="Times New Roman" w:cs="Times New Roman"/>
          <w:b/>
          <w:bCs/>
          <w:sz w:val="28"/>
          <w:szCs w:val="28"/>
          <w:lang w:val="en-US"/>
        </w:rPr>
        <w:t>THE “NEW MAN” PROJECT AND TEACHING HISTORY AND SOCIAL SCIENCES: ON THE DISCUSSION IN THE JOURNAL “THE MARXIST HISTORIAN”. 1926 – 1928</w:t>
      </w:r>
      <w:r>
        <w:rPr>
          <w:rStyle w:val="a5"/>
          <w:rFonts w:ascii="Times New Roman" w:eastAsia="Calibri" w:hAnsi="Times New Roman" w:cs="Times New Roman"/>
          <w:b/>
          <w:bCs/>
          <w:sz w:val="28"/>
          <w:szCs w:val="28"/>
          <w:lang w:val="en-US"/>
        </w:rPr>
        <w:footnoteReference w:id="2"/>
      </w:r>
      <w:r w:rsidRPr="003D3156">
        <w:rPr>
          <w:rFonts w:ascii="Times New Roman" w:eastAsia="Calibri" w:hAnsi="Times New Roman" w:cs="Times New Roman"/>
          <w:b/>
          <w:bCs/>
          <w:sz w:val="28"/>
          <w:szCs w:val="28"/>
          <w:lang w:val="en-US"/>
        </w:rPr>
        <w:t xml:space="preserve"> </w:t>
      </w:r>
    </w:p>
    <w:p w14:paraId="7448B5A5" w14:textId="77777777" w:rsidR="005E07C2" w:rsidRPr="003D3156" w:rsidRDefault="005E07C2" w:rsidP="005E07C2">
      <w:pPr>
        <w:spacing w:after="0" w:line="360" w:lineRule="auto"/>
        <w:ind w:firstLine="709"/>
        <w:contextualSpacing/>
        <w:jc w:val="both"/>
        <w:rPr>
          <w:rFonts w:ascii="Times New Roman" w:eastAsia="Calibri" w:hAnsi="Times New Roman" w:cs="Times New Roman"/>
          <w:sz w:val="28"/>
          <w:szCs w:val="28"/>
          <w:lang w:val="en-US"/>
        </w:rPr>
      </w:pPr>
      <w:r w:rsidRPr="003D3156">
        <w:rPr>
          <w:rFonts w:ascii="Times New Roman" w:eastAsia="Calibri" w:hAnsi="Times New Roman" w:cs="Times New Roman"/>
          <w:sz w:val="28"/>
          <w:szCs w:val="28"/>
          <w:lang w:val="en-US"/>
        </w:rPr>
        <w:t xml:space="preserve">The paper deals with research of sources of history teaching transformation in the Soviet education up to 1930s in the context of constant change of the political course that was linked with ideological requirements of new Soviet identity formation. The project of «new man» creation was subject to the idea of the Soviet state establishment and this one was the tool of the formation. Efforts aimed at the formation of social unity among Soviet citizens through the construction of common identity were promoted along with other peculiarities of the “new man” in 10 years after the Bolshevik power were established. Certain historical memory was one of conditions in achievement of the goal. Hence, the role of historical science in society changed, this, in turn, demanded transformation in the training process of history in schools of different levels, workers' faculties and universities. The article analyzes the discussions that started in connection with the establishment of the Society of </w:t>
      </w:r>
      <w:r w:rsidRPr="003D3156">
        <w:rPr>
          <w:rFonts w:ascii="Times New Roman" w:eastAsia="Calibri" w:hAnsi="Times New Roman" w:cs="Times New Roman"/>
          <w:sz w:val="28"/>
          <w:szCs w:val="28"/>
          <w:lang w:val="en-US"/>
        </w:rPr>
        <w:lastRenderedPageBreak/>
        <w:t>Marxist Historians. The problem of the «new man» formation was not directly voiced, yet implied. The ideological discourse supposed the “new man” as the target of Soviet social engineering, at the same time the unified plan to reach it was missing. Accordingly, the discussions about teaching history among Marxist historians started with pointing the goal - the formation of a person with a Marxist worldview, a revolutionary, a Leninist. However, along with implementation of the so-called laboratory plan, the lack of historical knowledge and thinking was revealed even in the amount which was significant for accommodation of Marxist ideas. The essence of the discussion itself left the ideology and the focus shifted to a reasonable discussion of the problems related to teaching history and social science. Thus, by 1928, the discussions featured the need for systematic history at different educational levels.</w:t>
      </w:r>
    </w:p>
    <w:p w14:paraId="246D6318" w14:textId="77777777" w:rsidR="005E07C2" w:rsidRPr="003D3156" w:rsidRDefault="005E07C2" w:rsidP="005E07C2">
      <w:pPr>
        <w:spacing w:after="0" w:line="360" w:lineRule="auto"/>
        <w:ind w:firstLine="709"/>
        <w:contextualSpacing/>
        <w:jc w:val="both"/>
        <w:rPr>
          <w:rFonts w:ascii="Times New Roman" w:eastAsia="Calibri" w:hAnsi="Times New Roman" w:cs="Times New Roman"/>
          <w:sz w:val="28"/>
          <w:szCs w:val="28"/>
          <w:lang w:val="en-US"/>
        </w:rPr>
      </w:pPr>
      <w:r w:rsidRPr="003D3156">
        <w:rPr>
          <w:rFonts w:ascii="Times New Roman" w:eastAsia="Calibri" w:hAnsi="Times New Roman" w:cs="Times New Roman"/>
          <w:b/>
          <w:bCs/>
          <w:sz w:val="28"/>
          <w:szCs w:val="28"/>
          <w:lang w:val="en-US"/>
        </w:rPr>
        <w:t>Key words:</w:t>
      </w:r>
      <w:r w:rsidRPr="003D3156">
        <w:rPr>
          <w:rFonts w:ascii="Times New Roman" w:eastAsia="Calibri" w:hAnsi="Times New Roman" w:cs="Times New Roman"/>
          <w:sz w:val="28"/>
          <w:szCs w:val="28"/>
          <w:lang w:val="en-US"/>
        </w:rPr>
        <w:t xml:space="preserve"> new man, "Soviet man", teaching social sciences, history as an academic subject, historical memory, methods of teaching history, social identity. </w:t>
      </w:r>
    </w:p>
    <w:p w14:paraId="68EDD392" w14:textId="60405B62" w:rsidR="00366FBA" w:rsidRDefault="00366FBA">
      <w:pPr>
        <w:rPr>
          <w:rFonts w:ascii="Times New Roman" w:eastAsia="Calibri" w:hAnsi="Times New Roman" w:cs="Times New Roman"/>
          <w:b/>
          <w:bCs/>
          <w:sz w:val="28"/>
          <w:szCs w:val="28"/>
          <w:lang w:val="en-US"/>
        </w:rPr>
      </w:pPr>
    </w:p>
    <w:p w14:paraId="6298BC76" w14:textId="77777777" w:rsidR="00E12757" w:rsidRDefault="00E12757" w:rsidP="00E12757">
      <w:pPr>
        <w:spacing w:after="0" w:line="360" w:lineRule="auto"/>
        <w:ind w:firstLine="709"/>
        <w:jc w:val="both"/>
        <w:rPr>
          <w:rFonts w:ascii="Times New Roman" w:eastAsia="Calibri" w:hAnsi="Times New Roman" w:cs="Times New Roman"/>
          <w:b/>
          <w:color w:val="000000"/>
          <w:sz w:val="28"/>
          <w:szCs w:val="28"/>
        </w:rPr>
      </w:pPr>
      <w:r>
        <w:rPr>
          <w:rFonts w:ascii="Times New Roman" w:hAnsi="Times New Roman" w:cs="Times New Roman"/>
          <w:b/>
          <w:bCs/>
          <w:sz w:val="28"/>
          <w:szCs w:val="28"/>
        </w:rPr>
        <w:t>УДК</w:t>
      </w:r>
      <w:r w:rsidRPr="00B17A99">
        <w:rPr>
          <w:rFonts w:ascii="Times New Roman" w:hAnsi="Times New Roman" w:cs="Times New Roman"/>
          <w:b/>
          <w:bCs/>
          <w:sz w:val="28"/>
          <w:szCs w:val="28"/>
        </w:rPr>
        <w:t xml:space="preserve"> </w:t>
      </w:r>
      <w:r w:rsidRPr="00B17A99">
        <w:rPr>
          <w:rFonts w:ascii="Times New Roman" w:eastAsia="Calibri" w:hAnsi="Times New Roman" w:cs="Times New Roman"/>
          <w:b/>
          <w:color w:val="000000"/>
          <w:sz w:val="28"/>
          <w:szCs w:val="28"/>
        </w:rPr>
        <w:t>94 (470+571) “18”</w:t>
      </w:r>
    </w:p>
    <w:p w14:paraId="1882D78E" w14:textId="77777777" w:rsidR="00E12757" w:rsidRDefault="00E12757" w:rsidP="00E12757">
      <w:pPr>
        <w:spacing w:after="0" w:line="360" w:lineRule="auto"/>
        <w:ind w:firstLine="709"/>
        <w:jc w:val="right"/>
        <w:rPr>
          <w:rFonts w:ascii="Times New Roman" w:hAnsi="Times New Roman" w:cs="Times New Roman"/>
          <w:b/>
          <w:sz w:val="28"/>
          <w:szCs w:val="28"/>
        </w:rPr>
      </w:pPr>
      <w:r w:rsidRPr="00092EC3">
        <w:rPr>
          <w:rFonts w:ascii="Times New Roman" w:eastAsia="Calibri" w:hAnsi="Times New Roman" w:cs="Times New Roman"/>
          <w:b/>
          <w:bCs/>
          <w:sz w:val="28"/>
          <w:szCs w:val="28"/>
        </w:rPr>
        <w:t>http://doi.org/</w:t>
      </w:r>
      <w:r w:rsidRPr="000C5E86">
        <w:t xml:space="preserve"> </w:t>
      </w:r>
      <w:r w:rsidRPr="000C5E86">
        <w:rPr>
          <w:rFonts w:ascii="Times New Roman" w:eastAsia="Calibri" w:hAnsi="Times New Roman" w:cs="Times New Roman"/>
          <w:b/>
          <w:bCs/>
          <w:sz w:val="28"/>
          <w:szCs w:val="28"/>
        </w:rPr>
        <w:t>10.37493/2409-1030.2022.4.2</w:t>
      </w:r>
    </w:p>
    <w:p w14:paraId="6E943082" w14:textId="77777777" w:rsidR="00E12757" w:rsidRPr="00B17A99" w:rsidRDefault="00E12757" w:rsidP="00E12757">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Ю</w:t>
      </w:r>
      <w:r w:rsidRPr="00B17A99">
        <w:rPr>
          <w:rFonts w:ascii="Times New Roman" w:hAnsi="Times New Roman" w:cs="Times New Roman"/>
          <w:b/>
          <w:sz w:val="28"/>
          <w:szCs w:val="28"/>
        </w:rPr>
        <w:t xml:space="preserve">. </w:t>
      </w:r>
      <w:r>
        <w:rPr>
          <w:rFonts w:ascii="Times New Roman" w:hAnsi="Times New Roman" w:cs="Times New Roman"/>
          <w:b/>
          <w:sz w:val="28"/>
          <w:szCs w:val="28"/>
        </w:rPr>
        <w:t>Ю</w:t>
      </w:r>
      <w:r w:rsidRPr="00B17A99">
        <w:rPr>
          <w:rFonts w:ascii="Times New Roman" w:hAnsi="Times New Roman" w:cs="Times New Roman"/>
          <w:b/>
          <w:sz w:val="28"/>
          <w:szCs w:val="28"/>
        </w:rPr>
        <w:t xml:space="preserve">. </w:t>
      </w:r>
      <w:r>
        <w:rPr>
          <w:rFonts w:ascii="Times New Roman" w:hAnsi="Times New Roman" w:cs="Times New Roman"/>
          <w:b/>
          <w:sz w:val="28"/>
          <w:szCs w:val="28"/>
        </w:rPr>
        <w:t>Гранкин</w:t>
      </w:r>
    </w:p>
    <w:p w14:paraId="4615E7D5" w14:textId="77777777" w:rsidR="00E12757" w:rsidRPr="007364F4" w:rsidRDefault="00E12757" w:rsidP="00E12757">
      <w:pPr>
        <w:spacing w:after="0" w:line="360" w:lineRule="auto"/>
        <w:ind w:firstLine="709"/>
        <w:jc w:val="center"/>
        <w:rPr>
          <w:rFonts w:ascii="Times New Roman" w:hAnsi="Times New Roman" w:cs="Times New Roman"/>
          <w:b/>
          <w:sz w:val="28"/>
          <w:szCs w:val="28"/>
        </w:rPr>
      </w:pPr>
      <w:r w:rsidRPr="00D53B8E">
        <w:rPr>
          <w:rFonts w:ascii="Times New Roman" w:hAnsi="Times New Roman" w:cs="Times New Roman"/>
          <w:b/>
          <w:sz w:val="28"/>
          <w:szCs w:val="28"/>
        </w:rPr>
        <w:t>«СТАРАНИЯ, О ДОБРОВОЛЬНОМ РАСПРОСТРАНЕНИИ ЕВАНГЕЛЬСКОГО УЧЕНИЯ …»: МИССИОНЕРСКАЯ ДЕЯТЕЛЬНОСТЬ В ПОЛИТИКЕ РОССИЙСКИХ ВЛАСТЕЙ НА</w:t>
      </w:r>
      <w:r w:rsidRPr="00403005">
        <w:rPr>
          <w:rFonts w:ascii="Times New Roman" w:hAnsi="Times New Roman" w:cs="Times New Roman"/>
          <w:b/>
          <w:sz w:val="28"/>
          <w:szCs w:val="28"/>
        </w:rPr>
        <w:t xml:space="preserve"> СЕВЕРНОМ КАВКАЗЕ </w:t>
      </w:r>
      <w:r>
        <w:rPr>
          <w:rFonts w:ascii="Times New Roman" w:hAnsi="Times New Roman" w:cs="Times New Roman"/>
          <w:b/>
          <w:sz w:val="28"/>
          <w:szCs w:val="28"/>
        </w:rPr>
        <w:t>(1793-1817 гг.)</w:t>
      </w:r>
    </w:p>
    <w:p w14:paraId="516BB2EA" w14:textId="77777777" w:rsidR="00E12757" w:rsidRDefault="00E12757" w:rsidP="00E127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Миссионерская деятельность Православной Церкви играла важную роль в умиротворении народов Северного Кавказа. Предполагалось восстановить среди них те духовные ценности, которые ранее исповедовали их предки. С этой целью в 1793 г. в Моздоке был учреждён пост викарного епископа Астраханской епархии. Это позволяло оперативно решать вопросы, связанные с распространением здесь христианской веры. Очень скоро Моздок превратился в один из ведущих религиозных центров края. Но к самой миссионерской работе у властей было немало претензий: число обращённых в </w:t>
      </w:r>
      <w:r>
        <w:rPr>
          <w:rFonts w:ascii="Times New Roman" w:hAnsi="Times New Roman" w:cs="Times New Roman"/>
          <w:sz w:val="28"/>
          <w:szCs w:val="28"/>
        </w:rPr>
        <w:lastRenderedPageBreak/>
        <w:t>новую веру не соответствовало ожиданиям, а искренность убеждений неофитов вызывала серьёзные сомнения. Император Павел </w:t>
      </w:r>
      <w:r>
        <w:rPr>
          <w:rFonts w:ascii="Times New Roman" w:hAnsi="Times New Roman" w:cs="Times New Roman"/>
          <w:sz w:val="28"/>
          <w:szCs w:val="28"/>
          <w:lang w:val="en-US"/>
        </w:rPr>
        <w:t>I</w:t>
      </w:r>
      <w:r>
        <w:rPr>
          <w:rFonts w:ascii="Times New Roman" w:hAnsi="Times New Roman" w:cs="Times New Roman"/>
          <w:sz w:val="28"/>
          <w:szCs w:val="28"/>
        </w:rPr>
        <w:t>, сменивший на престоле Екатерину </w:t>
      </w:r>
      <w:r>
        <w:rPr>
          <w:rFonts w:ascii="Times New Roman" w:hAnsi="Times New Roman" w:cs="Times New Roman"/>
          <w:sz w:val="28"/>
          <w:szCs w:val="28"/>
          <w:lang w:val="en-US"/>
        </w:rPr>
        <w:t>II</w:t>
      </w:r>
      <w:r>
        <w:rPr>
          <w:rFonts w:ascii="Times New Roman" w:hAnsi="Times New Roman" w:cs="Times New Roman"/>
          <w:sz w:val="28"/>
          <w:szCs w:val="28"/>
        </w:rPr>
        <w:t xml:space="preserve">, распорядился ликвидировать викариатство. Тем не менее сама идея проповедовать православие в горской среде сохранялась и имела немало сторонников. </w:t>
      </w:r>
    </w:p>
    <w:p w14:paraId="2BBBA15D" w14:textId="77777777" w:rsidR="00E12757" w:rsidRPr="007B67CD" w:rsidRDefault="00E12757" w:rsidP="00E127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Вновь стал вопрос о восстановлении Осетинской комиссии, с помощью которой предполагалось влиять на конфессиональную ситуацию в регионе. Возникали и апробировались проекты по привлечению иностранных миссионеров для миссионерской работы в горской среде. Но главная роль отводилась православным священникам, для успешных трудов которых казна готова была выделять необходимые средства. Деятельность церкви при этом не должна была противоречить шагам светских властей. С назначением на Кавказ А.П. Ермолова военно-политическая ситуация в крае усложняется, что ознаменовало собой новый этап в миссионерской практике православного духовенства. </w:t>
      </w:r>
    </w:p>
    <w:p w14:paraId="582A24E8" w14:textId="77777777" w:rsidR="00E12757" w:rsidRDefault="00E12757" w:rsidP="00E12757">
      <w:pPr>
        <w:spacing w:after="0" w:line="360" w:lineRule="auto"/>
        <w:ind w:firstLine="709"/>
        <w:jc w:val="both"/>
        <w:rPr>
          <w:rFonts w:ascii="Times New Roman" w:hAnsi="Times New Roman" w:cs="Times New Roman"/>
          <w:sz w:val="28"/>
          <w:szCs w:val="28"/>
        </w:rPr>
      </w:pPr>
    </w:p>
    <w:p w14:paraId="63D6B3FE" w14:textId="77777777" w:rsidR="00E12757" w:rsidRDefault="00E12757" w:rsidP="00E12757">
      <w:pPr>
        <w:spacing w:after="0" w:line="360" w:lineRule="auto"/>
        <w:ind w:firstLine="709"/>
        <w:jc w:val="both"/>
        <w:rPr>
          <w:rFonts w:ascii="Times New Roman" w:hAnsi="Times New Roman" w:cs="Times New Roman"/>
          <w:sz w:val="28"/>
          <w:szCs w:val="28"/>
        </w:rPr>
      </w:pPr>
      <w:r w:rsidRPr="0052611F">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r>
        <w:rPr>
          <w:rFonts w:ascii="Times New Roman" w:hAnsi="Times New Roman" w:cs="Times New Roman"/>
          <w:sz w:val="28"/>
          <w:szCs w:val="28"/>
        </w:rPr>
        <w:t>миссионеры, епархия, проповеди, христианство, православие, епископ, горцы, викарий, храм</w:t>
      </w:r>
      <w:r w:rsidRPr="0080662C">
        <w:rPr>
          <w:rFonts w:ascii="Times New Roman" w:hAnsi="Times New Roman" w:cs="Times New Roman"/>
          <w:sz w:val="28"/>
          <w:szCs w:val="28"/>
        </w:rPr>
        <w:t>.</w:t>
      </w:r>
    </w:p>
    <w:p w14:paraId="7FE8A17A" w14:textId="77777777" w:rsidR="00E12757" w:rsidRPr="00B163B3" w:rsidRDefault="00E12757" w:rsidP="00E12757">
      <w:pPr>
        <w:pStyle w:val="HTML"/>
        <w:shd w:val="clear" w:color="auto" w:fill="F8F9FA"/>
        <w:spacing w:line="387" w:lineRule="atLeast"/>
        <w:jc w:val="right"/>
        <w:rPr>
          <w:rStyle w:val="y2iqfc"/>
          <w:rFonts w:ascii="Times New Roman" w:eastAsiaTheme="majorEastAsia" w:hAnsi="Times New Roman" w:cs="Times New Roman"/>
          <w:b/>
          <w:color w:val="202124"/>
          <w:sz w:val="28"/>
          <w:szCs w:val="28"/>
          <w:lang w:val="en-US"/>
        </w:rPr>
      </w:pPr>
      <w:r w:rsidRPr="00D94873">
        <w:rPr>
          <w:rFonts w:ascii="Times New Roman" w:hAnsi="Times New Roman" w:cs="Times New Roman"/>
          <w:b/>
          <w:sz w:val="28"/>
          <w:szCs w:val="28"/>
          <w:lang w:val="en-US"/>
        </w:rPr>
        <w:t>Yurii</w:t>
      </w:r>
      <w:r w:rsidRPr="00B163B3">
        <w:rPr>
          <w:rFonts w:ascii="Times New Roman" w:hAnsi="Times New Roman" w:cs="Times New Roman"/>
          <w:b/>
          <w:sz w:val="28"/>
          <w:szCs w:val="28"/>
          <w:lang w:val="en-US"/>
        </w:rPr>
        <w:t xml:space="preserve"> </w:t>
      </w:r>
      <w:r w:rsidRPr="00D94873">
        <w:rPr>
          <w:rFonts w:ascii="Times New Roman" w:hAnsi="Times New Roman" w:cs="Times New Roman"/>
          <w:b/>
          <w:sz w:val="28"/>
          <w:szCs w:val="28"/>
          <w:lang w:val="en-US"/>
        </w:rPr>
        <w:t>Yu</w:t>
      </w:r>
      <w:r w:rsidRPr="00B163B3">
        <w:rPr>
          <w:rFonts w:ascii="Times New Roman" w:hAnsi="Times New Roman" w:cs="Times New Roman"/>
          <w:b/>
          <w:sz w:val="28"/>
          <w:szCs w:val="28"/>
          <w:lang w:val="en-US"/>
        </w:rPr>
        <w:t xml:space="preserve">. </w:t>
      </w:r>
      <w:r w:rsidRPr="00D94873">
        <w:rPr>
          <w:rFonts w:ascii="Times New Roman" w:hAnsi="Times New Roman" w:cs="Times New Roman"/>
          <w:b/>
          <w:sz w:val="28"/>
          <w:szCs w:val="28"/>
          <w:lang w:val="en-US"/>
        </w:rPr>
        <w:t>Grankin</w:t>
      </w:r>
    </w:p>
    <w:p w14:paraId="1A87C347" w14:textId="77777777" w:rsidR="00E12757" w:rsidRPr="00B163B3" w:rsidRDefault="00E12757" w:rsidP="00E12757">
      <w:pPr>
        <w:pStyle w:val="HTML"/>
        <w:shd w:val="clear" w:color="auto" w:fill="F8F9FA"/>
        <w:spacing w:line="387" w:lineRule="atLeast"/>
        <w:rPr>
          <w:rStyle w:val="y2iqfc"/>
          <w:rFonts w:ascii="Times New Roman" w:eastAsiaTheme="majorEastAsia" w:hAnsi="Times New Roman" w:cs="Times New Roman"/>
          <w:b/>
          <w:color w:val="202124"/>
          <w:sz w:val="28"/>
          <w:szCs w:val="28"/>
          <w:lang w:val="en-US"/>
        </w:rPr>
      </w:pPr>
    </w:p>
    <w:p w14:paraId="655B3B4E" w14:textId="77777777" w:rsidR="00E12757" w:rsidRPr="0052008D" w:rsidRDefault="00E12757" w:rsidP="00E12757">
      <w:pPr>
        <w:pStyle w:val="HTML"/>
        <w:shd w:val="clear" w:color="auto" w:fill="F8F9FA"/>
        <w:spacing w:line="360" w:lineRule="auto"/>
        <w:jc w:val="center"/>
        <w:rPr>
          <w:rFonts w:ascii="Times New Roman" w:hAnsi="Times New Roman" w:cs="Times New Roman"/>
          <w:b/>
          <w:bCs/>
          <w:color w:val="202124"/>
          <w:sz w:val="28"/>
          <w:szCs w:val="28"/>
          <w:lang w:val="en-US"/>
        </w:rPr>
      </w:pPr>
      <w:r w:rsidRPr="0052008D">
        <w:rPr>
          <w:rStyle w:val="y2iqfc"/>
          <w:rFonts w:ascii="Times New Roman" w:eastAsiaTheme="majorEastAsia" w:hAnsi="Times New Roman" w:cs="Times New Roman"/>
          <w:b/>
          <w:bCs/>
          <w:color w:val="202124"/>
          <w:sz w:val="28"/>
          <w:szCs w:val="28"/>
          <w:lang w:val="en-US"/>
        </w:rPr>
        <w:t>"EFFORTS TO VOLUNTARILY SPREAD THE GOSPEL TEACHING...": MISSIONARY ACTIVITY IN THE POLICY OF THE RUSSIAN AUTHORITIES IN THE NORTH CAUCASUS (1793-1817)</w:t>
      </w:r>
    </w:p>
    <w:p w14:paraId="77FF083C" w14:textId="77777777" w:rsidR="00E12757" w:rsidRPr="00D94873" w:rsidRDefault="00E12757" w:rsidP="00E12757">
      <w:pPr>
        <w:pStyle w:val="HTML"/>
        <w:shd w:val="clear" w:color="auto" w:fill="F8F9FA"/>
        <w:spacing w:line="360" w:lineRule="auto"/>
        <w:ind w:firstLine="919"/>
        <w:jc w:val="both"/>
        <w:rPr>
          <w:rFonts w:ascii="Times New Roman" w:hAnsi="Times New Roman" w:cs="Times New Roman"/>
          <w:color w:val="202124"/>
          <w:sz w:val="28"/>
          <w:szCs w:val="28"/>
          <w:lang w:val="en-US"/>
        </w:rPr>
      </w:pPr>
      <w:r w:rsidRPr="00D94873">
        <w:rPr>
          <w:rStyle w:val="y2iqfc"/>
          <w:rFonts w:ascii="Times New Roman" w:eastAsiaTheme="majorEastAsia" w:hAnsi="Times New Roman" w:cs="Times New Roman"/>
          <w:color w:val="202124"/>
          <w:sz w:val="28"/>
          <w:szCs w:val="28"/>
          <w:lang w:val="en-US"/>
        </w:rPr>
        <w:t xml:space="preserve">The missionary activity of the Greek Church played an important role in appeasing the peoples of the North Caucasus. It was supposed to restore among them those spiritual values that their ancestors had previously professed. For this purpose, in 1793, the post of vicar bishop of the Astrakhan diocese was established in Mozdok. This made it possible to quickly resolve issues related to the spread of the Christian faith here. Very soon Mozdok became one of the leading religious centers of the region. But the authorities had many complaints about the missionary work </w:t>
      </w:r>
      <w:r w:rsidRPr="00D94873">
        <w:rPr>
          <w:rStyle w:val="y2iqfc"/>
          <w:rFonts w:ascii="Times New Roman" w:eastAsiaTheme="majorEastAsia" w:hAnsi="Times New Roman" w:cs="Times New Roman"/>
          <w:color w:val="202124"/>
          <w:sz w:val="28"/>
          <w:szCs w:val="28"/>
          <w:lang w:val="en-US"/>
        </w:rPr>
        <w:lastRenderedPageBreak/>
        <w:t>itself: the number of converts to the new faith did not meet expectations, and the sincerity of the neophytes' beliefs raised serious doubts. Emperor Paul I, who replaced Catherine II on the throne, ordered the abolition of the vicariate. Nevertheless, the very idea of preaching Orthodoxy in the mountain environment was preserved and had many supporters.</w:t>
      </w:r>
    </w:p>
    <w:p w14:paraId="0DEBCB07" w14:textId="77777777" w:rsidR="00E12757" w:rsidRPr="00D94873" w:rsidRDefault="00E12757" w:rsidP="00E12757">
      <w:pPr>
        <w:pStyle w:val="HTML"/>
        <w:shd w:val="clear" w:color="auto" w:fill="F8F9FA"/>
        <w:spacing w:line="360" w:lineRule="auto"/>
        <w:ind w:firstLine="919"/>
        <w:jc w:val="both"/>
        <w:rPr>
          <w:rFonts w:ascii="Times New Roman" w:hAnsi="Times New Roman" w:cs="Times New Roman"/>
          <w:color w:val="202124"/>
          <w:sz w:val="28"/>
          <w:szCs w:val="28"/>
          <w:lang w:val="en-US"/>
        </w:rPr>
      </w:pPr>
      <w:r w:rsidRPr="00D94873">
        <w:rPr>
          <w:rStyle w:val="y2iqfc"/>
          <w:rFonts w:ascii="Times New Roman" w:eastAsiaTheme="majorEastAsia" w:hAnsi="Times New Roman" w:cs="Times New Roman"/>
          <w:color w:val="202124"/>
          <w:sz w:val="28"/>
          <w:szCs w:val="28"/>
          <w:lang w:val="en-US"/>
        </w:rPr>
        <w:t>The question of restoring the Ossetian Commission, with the help of which it was supposed to influence the confessional situation in the region, arose again. Projects to attract foreign missionaries for missionary work in the mountain environment arose and were tested. But the main role was assigned to Orthodox priests, for whose successful work the treasury was ready to allocate the necessary funds. The activities of the church in this case should not have contradicted the steps of the secular authorities. With the appointment</w:t>
      </w:r>
      <w:r>
        <w:rPr>
          <w:rStyle w:val="y2iqfc"/>
          <w:rFonts w:ascii="Times New Roman" w:eastAsiaTheme="majorEastAsia" w:hAnsi="Times New Roman" w:cs="Times New Roman"/>
          <w:color w:val="202124"/>
          <w:sz w:val="28"/>
          <w:szCs w:val="28"/>
          <w:lang w:val="en-US"/>
        </w:rPr>
        <w:t xml:space="preserve"> of</w:t>
      </w:r>
      <w:r w:rsidRPr="00D94873">
        <w:rPr>
          <w:rStyle w:val="y2iqfc"/>
          <w:rFonts w:ascii="Times New Roman" w:eastAsiaTheme="majorEastAsia" w:hAnsi="Times New Roman" w:cs="Times New Roman"/>
          <w:color w:val="202124"/>
          <w:sz w:val="28"/>
          <w:szCs w:val="28"/>
          <w:lang w:val="en-US"/>
        </w:rPr>
        <w:t xml:space="preserve"> A.P. Yermolov to the Caucasus, the military-political situation in the region is becoming more complicated, which marked a new stage in the missionary practice of the Orthodox clergy.</w:t>
      </w:r>
      <w:r>
        <w:rPr>
          <w:rStyle w:val="y2iqfc"/>
          <w:rFonts w:ascii="Times New Roman" w:eastAsiaTheme="majorEastAsia" w:hAnsi="Times New Roman" w:cs="Times New Roman"/>
          <w:color w:val="202124"/>
          <w:sz w:val="28"/>
          <w:szCs w:val="28"/>
          <w:lang w:val="en-US"/>
        </w:rPr>
        <w:t xml:space="preserve"> </w:t>
      </w:r>
    </w:p>
    <w:p w14:paraId="29D88E4E" w14:textId="77777777" w:rsidR="00E12757" w:rsidRPr="007C61D0" w:rsidRDefault="00E12757" w:rsidP="00E12757">
      <w:pPr>
        <w:pStyle w:val="HTML"/>
        <w:shd w:val="clear" w:color="auto" w:fill="F8F9FA"/>
        <w:spacing w:line="360" w:lineRule="auto"/>
        <w:ind w:firstLine="709"/>
        <w:jc w:val="both"/>
        <w:rPr>
          <w:rFonts w:ascii="Times New Roman" w:hAnsi="Times New Roman" w:cs="Times New Roman"/>
          <w:color w:val="202124"/>
          <w:sz w:val="28"/>
          <w:szCs w:val="28"/>
          <w:lang w:val="en-US"/>
        </w:rPr>
      </w:pPr>
      <w:r w:rsidRPr="00D94873">
        <w:rPr>
          <w:rFonts w:ascii="Times New Roman" w:hAnsi="Times New Roman" w:cs="Times New Roman"/>
          <w:b/>
          <w:sz w:val="28"/>
          <w:szCs w:val="28"/>
          <w:lang w:val="en-US"/>
        </w:rPr>
        <w:t xml:space="preserve">Key words: </w:t>
      </w:r>
      <w:r w:rsidRPr="00D94873">
        <w:rPr>
          <w:rStyle w:val="y2iqfc"/>
          <w:rFonts w:ascii="Times New Roman" w:eastAsiaTheme="majorEastAsia" w:hAnsi="Times New Roman" w:cs="Times New Roman"/>
          <w:color w:val="202124"/>
          <w:sz w:val="28"/>
          <w:szCs w:val="28"/>
          <w:lang w:val="en-US"/>
        </w:rPr>
        <w:t>missionaries, diocese, sermons, Christianity, orthodoxy, bishop, highlanders, vicar, temple.</w:t>
      </w:r>
    </w:p>
    <w:p w14:paraId="1FFEAE9F" w14:textId="7AD82E23" w:rsidR="005E07C2" w:rsidRDefault="005E07C2">
      <w:pPr>
        <w:rPr>
          <w:lang w:val="en-US"/>
        </w:rPr>
      </w:pPr>
    </w:p>
    <w:p w14:paraId="04B118D1" w14:textId="77777777" w:rsidR="00340F61" w:rsidRPr="008141F3" w:rsidRDefault="00340F61" w:rsidP="00340F61">
      <w:pPr>
        <w:pStyle w:val="2"/>
        <w:rPr>
          <w:rFonts w:ascii="Times New Roman" w:hAnsi="Times New Roman" w:cs="Times New Roman"/>
          <w:color w:val="000000" w:themeColor="text1"/>
          <w:sz w:val="28"/>
          <w:szCs w:val="28"/>
        </w:rPr>
      </w:pPr>
      <w:r w:rsidRPr="008141F3">
        <w:rPr>
          <w:rFonts w:ascii="Times New Roman" w:hAnsi="Times New Roman" w:cs="Times New Roman"/>
          <w:color w:val="000000" w:themeColor="text1"/>
          <w:sz w:val="28"/>
          <w:szCs w:val="28"/>
        </w:rPr>
        <w:t xml:space="preserve">УДК: </w:t>
      </w:r>
      <w:hyperlink r:id="rId6" w:history="1">
        <w:r w:rsidRPr="008141F3">
          <w:rPr>
            <w:rFonts w:ascii="Times New Roman" w:hAnsi="Times New Roman" w:cs="Times New Roman"/>
            <w:color w:val="000000" w:themeColor="text1"/>
            <w:sz w:val="28"/>
            <w:szCs w:val="28"/>
          </w:rPr>
          <w:t>93</w:t>
        </w:r>
      </w:hyperlink>
      <w:r w:rsidRPr="008141F3">
        <w:rPr>
          <w:rFonts w:ascii="Times New Roman" w:hAnsi="Times New Roman" w:cs="Times New Roman"/>
          <w:color w:val="000000" w:themeColor="text1"/>
          <w:sz w:val="28"/>
          <w:szCs w:val="28"/>
        </w:rPr>
        <w:t>/94</w:t>
      </w:r>
    </w:p>
    <w:p w14:paraId="1911B457" w14:textId="77777777" w:rsidR="00340F61" w:rsidRDefault="00340F61" w:rsidP="00340F61">
      <w:pPr>
        <w:spacing w:line="360" w:lineRule="auto"/>
        <w:ind w:firstLine="709"/>
        <w:jc w:val="right"/>
        <w:rPr>
          <w:rFonts w:ascii="Times New Roman" w:hAnsi="Times New Roman" w:cs="Times New Roman"/>
          <w:b/>
          <w:bCs/>
          <w:kern w:val="2"/>
          <w:sz w:val="28"/>
          <w:szCs w:val="28"/>
        </w:rPr>
      </w:pPr>
      <w:bookmarkStart w:id="0" w:name="_Hlk121870071"/>
      <w:r w:rsidRPr="00092EC3">
        <w:rPr>
          <w:rFonts w:ascii="Times New Roman" w:eastAsia="Calibri" w:hAnsi="Times New Roman" w:cs="Times New Roman"/>
          <w:b/>
          <w:bCs/>
          <w:sz w:val="28"/>
          <w:szCs w:val="28"/>
        </w:rPr>
        <w:t>http://doi.org/</w:t>
      </w:r>
      <w:bookmarkEnd w:id="0"/>
      <w:r w:rsidRPr="000B3DBB">
        <w:rPr>
          <w:rFonts w:ascii="Times New Roman" w:eastAsia="Calibri" w:hAnsi="Times New Roman" w:cs="Times New Roman"/>
          <w:b/>
          <w:bCs/>
          <w:sz w:val="28"/>
          <w:szCs w:val="28"/>
        </w:rPr>
        <w:t>10.37493/2409-1030.2022.4.3</w:t>
      </w:r>
    </w:p>
    <w:p w14:paraId="574019BD" w14:textId="77777777" w:rsidR="00340F61" w:rsidRPr="00BB5483" w:rsidRDefault="00340F61" w:rsidP="00340F61">
      <w:pPr>
        <w:spacing w:line="360" w:lineRule="auto"/>
        <w:ind w:firstLine="709"/>
        <w:jc w:val="right"/>
        <w:rPr>
          <w:rFonts w:ascii="Times New Roman" w:hAnsi="Times New Roman" w:cs="Times New Roman"/>
          <w:b/>
          <w:bCs/>
          <w:kern w:val="2"/>
          <w:sz w:val="28"/>
          <w:szCs w:val="28"/>
        </w:rPr>
      </w:pPr>
      <w:r>
        <w:rPr>
          <w:rFonts w:ascii="Times New Roman" w:hAnsi="Times New Roman" w:cs="Times New Roman"/>
          <w:b/>
          <w:bCs/>
          <w:kern w:val="2"/>
          <w:sz w:val="28"/>
          <w:szCs w:val="28"/>
        </w:rPr>
        <w:t>М.Р. Григорян</w:t>
      </w:r>
    </w:p>
    <w:p w14:paraId="512840F9" w14:textId="77777777" w:rsidR="00340F61" w:rsidRPr="00BB5483" w:rsidRDefault="00340F61" w:rsidP="00340F61">
      <w:pPr>
        <w:pStyle w:val="a6"/>
        <w:spacing w:before="150" w:beforeAutospacing="0" w:after="0" w:afterAutospacing="0" w:line="360" w:lineRule="auto"/>
        <w:jc w:val="center"/>
        <w:textAlignment w:val="top"/>
        <w:rPr>
          <w:b/>
          <w:color w:val="000000"/>
          <w:sz w:val="28"/>
          <w:szCs w:val="23"/>
        </w:rPr>
      </w:pPr>
      <w:r w:rsidRPr="00BB5483">
        <w:rPr>
          <w:b/>
          <w:color w:val="000000"/>
          <w:sz w:val="28"/>
          <w:szCs w:val="23"/>
        </w:rPr>
        <w:t xml:space="preserve">ПРОЕКТЫ </w:t>
      </w:r>
      <w:r>
        <w:rPr>
          <w:b/>
          <w:color w:val="000000"/>
          <w:sz w:val="28"/>
          <w:szCs w:val="23"/>
        </w:rPr>
        <w:t>РОССИЙСКОЙ АДМИНИСТРАЦИИ ПО «УМИРОТВОРЕНИЮ»</w:t>
      </w:r>
      <w:r w:rsidRPr="00BB5483">
        <w:rPr>
          <w:b/>
          <w:color w:val="000000"/>
          <w:sz w:val="28"/>
          <w:szCs w:val="23"/>
        </w:rPr>
        <w:t xml:space="preserve"> КАВКАЗА В ПЕРВОЙ ПОЛОВИНЕ XIX В.</w:t>
      </w:r>
    </w:p>
    <w:p w14:paraId="10517E15" w14:textId="77777777" w:rsidR="00340F61" w:rsidRPr="00324312" w:rsidRDefault="00340F61" w:rsidP="00340F61">
      <w:pPr>
        <w:spacing w:after="0" w:line="360" w:lineRule="auto"/>
        <w:ind w:firstLine="709"/>
        <w:jc w:val="both"/>
        <w:rPr>
          <w:sz w:val="28"/>
          <w:szCs w:val="28"/>
        </w:rPr>
      </w:pPr>
      <w:r w:rsidRPr="004C6303">
        <w:rPr>
          <w:rFonts w:ascii="Times New Roman" w:hAnsi="Times New Roman" w:cs="Times New Roman"/>
          <w:sz w:val="28"/>
          <w:szCs w:val="28"/>
        </w:rPr>
        <w:t>С сам</w:t>
      </w:r>
      <w:r>
        <w:rPr>
          <w:rFonts w:ascii="Times New Roman" w:hAnsi="Times New Roman" w:cs="Times New Roman"/>
          <w:sz w:val="28"/>
          <w:szCs w:val="28"/>
        </w:rPr>
        <w:t>ых</w:t>
      </w:r>
      <w:r w:rsidRPr="004C6303">
        <w:rPr>
          <w:rFonts w:ascii="Times New Roman" w:hAnsi="Times New Roman" w:cs="Times New Roman"/>
          <w:sz w:val="28"/>
          <w:szCs w:val="28"/>
        </w:rPr>
        <w:t xml:space="preserve"> ранн</w:t>
      </w:r>
      <w:r>
        <w:rPr>
          <w:rFonts w:ascii="Times New Roman" w:hAnsi="Times New Roman" w:cs="Times New Roman"/>
          <w:sz w:val="28"/>
          <w:szCs w:val="28"/>
        </w:rPr>
        <w:t>их этапов</w:t>
      </w:r>
      <w:r w:rsidRPr="004C6303">
        <w:rPr>
          <w:rFonts w:ascii="Times New Roman" w:hAnsi="Times New Roman" w:cs="Times New Roman"/>
          <w:sz w:val="28"/>
          <w:szCs w:val="28"/>
        </w:rPr>
        <w:t xml:space="preserve"> своего </w:t>
      </w:r>
      <w:r>
        <w:rPr>
          <w:rFonts w:ascii="Times New Roman" w:hAnsi="Times New Roman" w:cs="Times New Roman"/>
          <w:sz w:val="28"/>
          <w:szCs w:val="28"/>
        </w:rPr>
        <w:t>становления</w:t>
      </w:r>
      <w:r w:rsidRPr="004C6303">
        <w:rPr>
          <w:rFonts w:ascii="Times New Roman" w:hAnsi="Times New Roman" w:cs="Times New Roman"/>
          <w:sz w:val="28"/>
          <w:szCs w:val="28"/>
        </w:rPr>
        <w:t xml:space="preserve"> </w:t>
      </w:r>
      <w:r>
        <w:rPr>
          <w:rFonts w:ascii="Times New Roman" w:hAnsi="Times New Roman" w:cs="Times New Roman"/>
          <w:sz w:val="28"/>
          <w:szCs w:val="28"/>
        </w:rPr>
        <w:t>Россия</w:t>
      </w:r>
      <w:r w:rsidRPr="004C6303">
        <w:rPr>
          <w:rFonts w:ascii="Times New Roman" w:hAnsi="Times New Roman" w:cs="Times New Roman"/>
          <w:sz w:val="28"/>
          <w:szCs w:val="28"/>
        </w:rPr>
        <w:t xml:space="preserve"> сталкивал</w:t>
      </w:r>
      <w:r>
        <w:rPr>
          <w:rFonts w:ascii="Times New Roman" w:hAnsi="Times New Roman" w:cs="Times New Roman"/>
          <w:sz w:val="28"/>
          <w:szCs w:val="28"/>
        </w:rPr>
        <w:t>а</w:t>
      </w:r>
      <w:r w:rsidRPr="004C6303">
        <w:rPr>
          <w:rFonts w:ascii="Times New Roman" w:hAnsi="Times New Roman" w:cs="Times New Roman"/>
          <w:sz w:val="28"/>
          <w:szCs w:val="28"/>
        </w:rPr>
        <w:t xml:space="preserve">сь с </w:t>
      </w:r>
      <w:r>
        <w:rPr>
          <w:rFonts w:ascii="Times New Roman" w:hAnsi="Times New Roman" w:cs="Times New Roman"/>
          <w:sz w:val="28"/>
          <w:szCs w:val="28"/>
        </w:rPr>
        <w:t>трудностями</w:t>
      </w:r>
      <w:r w:rsidRPr="004C6303">
        <w:rPr>
          <w:rFonts w:ascii="Times New Roman" w:hAnsi="Times New Roman" w:cs="Times New Roman"/>
          <w:sz w:val="28"/>
          <w:szCs w:val="28"/>
        </w:rPr>
        <w:t xml:space="preserve">, </w:t>
      </w:r>
      <w:r>
        <w:rPr>
          <w:rFonts w:ascii="Times New Roman" w:hAnsi="Times New Roman" w:cs="Times New Roman"/>
          <w:sz w:val="28"/>
          <w:szCs w:val="28"/>
        </w:rPr>
        <w:t xml:space="preserve">связанными не только с присоединением </w:t>
      </w:r>
      <w:r w:rsidRPr="004C6303">
        <w:rPr>
          <w:rFonts w:ascii="Times New Roman" w:hAnsi="Times New Roman" w:cs="Times New Roman"/>
          <w:sz w:val="28"/>
          <w:szCs w:val="28"/>
        </w:rPr>
        <w:t xml:space="preserve">новых территорий </w:t>
      </w:r>
      <w:r>
        <w:rPr>
          <w:rFonts w:ascii="Times New Roman" w:hAnsi="Times New Roman" w:cs="Times New Roman"/>
          <w:sz w:val="28"/>
          <w:szCs w:val="28"/>
        </w:rPr>
        <w:t>к</w:t>
      </w:r>
      <w:r w:rsidRPr="004C6303">
        <w:rPr>
          <w:rFonts w:ascii="Times New Roman" w:hAnsi="Times New Roman" w:cs="Times New Roman"/>
          <w:sz w:val="28"/>
          <w:szCs w:val="28"/>
        </w:rPr>
        <w:t xml:space="preserve"> </w:t>
      </w:r>
      <w:r>
        <w:rPr>
          <w:rFonts w:ascii="Times New Roman" w:hAnsi="Times New Roman" w:cs="Times New Roman"/>
          <w:sz w:val="28"/>
          <w:szCs w:val="28"/>
        </w:rPr>
        <w:t>государству</w:t>
      </w:r>
      <w:r w:rsidRPr="004C6303">
        <w:rPr>
          <w:rFonts w:ascii="Times New Roman" w:hAnsi="Times New Roman" w:cs="Times New Roman"/>
          <w:sz w:val="28"/>
          <w:szCs w:val="28"/>
        </w:rPr>
        <w:t xml:space="preserve">, но и </w:t>
      </w:r>
      <w:r>
        <w:rPr>
          <w:rFonts w:ascii="Times New Roman" w:hAnsi="Times New Roman" w:cs="Times New Roman"/>
          <w:sz w:val="28"/>
          <w:szCs w:val="28"/>
        </w:rPr>
        <w:t>поиска лучших форм и способов управления ими, что предполагало осуществление</w:t>
      </w:r>
      <w:r w:rsidRPr="004C6303">
        <w:rPr>
          <w:rFonts w:ascii="Times New Roman" w:hAnsi="Times New Roman" w:cs="Times New Roman"/>
          <w:sz w:val="28"/>
          <w:szCs w:val="28"/>
        </w:rPr>
        <w:t xml:space="preserve"> национально-государственной политики, </w:t>
      </w:r>
      <w:r>
        <w:rPr>
          <w:rFonts w:ascii="Times New Roman" w:hAnsi="Times New Roman" w:cs="Times New Roman"/>
          <w:sz w:val="28"/>
          <w:szCs w:val="28"/>
        </w:rPr>
        <w:t>в полной мере</w:t>
      </w:r>
      <w:r w:rsidRPr="004C6303">
        <w:rPr>
          <w:rFonts w:ascii="Times New Roman" w:hAnsi="Times New Roman" w:cs="Times New Roman"/>
          <w:sz w:val="28"/>
          <w:szCs w:val="28"/>
        </w:rPr>
        <w:t xml:space="preserve"> учитыва</w:t>
      </w:r>
      <w:r>
        <w:rPr>
          <w:rFonts w:ascii="Times New Roman" w:hAnsi="Times New Roman" w:cs="Times New Roman"/>
          <w:sz w:val="28"/>
          <w:szCs w:val="28"/>
        </w:rPr>
        <w:t>ющей</w:t>
      </w:r>
      <w:r w:rsidRPr="004C6303">
        <w:rPr>
          <w:rFonts w:ascii="Times New Roman" w:hAnsi="Times New Roman" w:cs="Times New Roman"/>
          <w:sz w:val="28"/>
          <w:szCs w:val="28"/>
        </w:rPr>
        <w:t xml:space="preserve"> интересы,</w:t>
      </w:r>
      <w:r>
        <w:rPr>
          <w:rFonts w:ascii="Times New Roman" w:hAnsi="Times New Roman" w:cs="Times New Roman"/>
          <w:sz w:val="28"/>
          <w:szCs w:val="28"/>
        </w:rPr>
        <w:t xml:space="preserve"> с одной стороны,</w:t>
      </w:r>
      <w:r w:rsidRPr="004C6303">
        <w:rPr>
          <w:rFonts w:ascii="Times New Roman" w:hAnsi="Times New Roman" w:cs="Times New Roman"/>
          <w:sz w:val="28"/>
          <w:szCs w:val="28"/>
        </w:rPr>
        <w:t xml:space="preserve"> Российской империи</w:t>
      </w:r>
      <w:r>
        <w:rPr>
          <w:rFonts w:ascii="Times New Roman" w:hAnsi="Times New Roman" w:cs="Times New Roman"/>
          <w:sz w:val="28"/>
          <w:szCs w:val="28"/>
        </w:rPr>
        <w:t>,</w:t>
      </w:r>
      <w:r w:rsidRPr="004C6303">
        <w:rPr>
          <w:rFonts w:ascii="Times New Roman" w:hAnsi="Times New Roman" w:cs="Times New Roman"/>
          <w:sz w:val="28"/>
          <w:szCs w:val="28"/>
        </w:rPr>
        <w:t xml:space="preserve"> </w:t>
      </w:r>
      <w:r>
        <w:rPr>
          <w:rFonts w:ascii="Times New Roman" w:hAnsi="Times New Roman" w:cs="Times New Roman"/>
          <w:sz w:val="28"/>
          <w:szCs w:val="28"/>
        </w:rPr>
        <w:t>а с другой стороны, вновь вошедших в ее состав</w:t>
      </w:r>
      <w:r w:rsidRPr="004C6303">
        <w:rPr>
          <w:rFonts w:ascii="Times New Roman" w:hAnsi="Times New Roman" w:cs="Times New Roman"/>
          <w:sz w:val="28"/>
          <w:szCs w:val="28"/>
        </w:rPr>
        <w:t xml:space="preserve"> территорий</w:t>
      </w:r>
      <w:r>
        <w:rPr>
          <w:rFonts w:ascii="Times New Roman" w:hAnsi="Times New Roman" w:cs="Times New Roman"/>
          <w:sz w:val="28"/>
          <w:szCs w:val="28"/>
        </w:rPr>
        <w:t xml:space="preserve">. К одной </w:t>
      </w:r>
      <w:r w:rsidRPr="00DE4519">
        <w:rPr>
          <w:rFonts w:ascii="Times New Roman" w:hAnsi="Times New Roman" w:cs="Times New Roman"/>
          <w:sz w:val="28"/>
          <w:szCs w:val="28"/>
        </w:rPr>
        <w:t xml:space="preserve">из таких </w:t>
      </w:r>
      <w:r>
        <w:rPr>
          <w:rFonts w:ascii="Times New Roman" w:hAnsi="Times New Roman" w:cs="Times New Roman"/>
          <w:sz w:val="28"/>
          <w:szCs w:val="28"/>
        </w:rPr>
        <w:t>тяжелых</w:t>
      </w:r>
      <w:r w:rsidRPr="00DE4519">
        <w:rPr>
          <w:rFonts w:ascii="Times New Roman" w:hAnsi="Times New Roman" w:cs="Times New Roman"/>
          <w:sz w:val="28"/>
          <w:szCs w:val="28"/>
        </w:rPr>
        <w:t xml:space="preserve"> задач</w:t>
      </w:r>
      <w:r>
        <w:rPr>
          <w:rFonts w:ascii="Times New Roman" w:hAnsi="Times New Roman" w:cs="Times New Roman"/>
          <w:sz w:val="28"/>
          <w:szCs w:val="28"/>
        </w:rPr>
        <w:t>, стоящих перед российским государством,</w:t>
      </w:r>
      <w:r w:rsidRPr="00DE4519">
        <w:rPr>
          <w:rFonts w:ascii="Times New Roman" w:hAnsi="Times New Roman" w:cs="Times New Roman"/>
          <w:sz w:val="28"/>
          <w:szCs w:val="28"/>
        </w:rPr>
        <w:t xml:space="preserve"> </w:t>
      </w:r>
      <w:r>
        <w:rPr>
          <w:rFonts w:ascii="Times New Roman" w:hAnsi="Times New Roman" w:cs="Times New Roman"/>
          <w:sz w:val="28"/>
          <w:szCs w:val="28"/>
        </w:rPr>
        <w:t xml:space="preserve">относился </w:t>
      </w:r>
      <w:r w:rsidRPr="00DE4519">
        <w:rPr>
          <w:rFonts w:ascii="Times New Roman" w:hAnsi="Times New Roman" w:cs="Times New Roman"/>
          <w:sz w:val="28"/>
          <w:szCs w:val="28"/>
        </w:rPr>
        <w:t xml:space="preserve">процесс </w:t>
      </w:r>
      <w:r>
        <w:rPr>
          <w:rFonts w:ascii="Times New Roman" w:hAnsi="Times New Roman" w:cs="Times New Roman"/>
          <w:sz w:val="28"/>
          <w:szCs w:val="28"/>
        </w:rPr>
        <w:t>интеграции</w:t>
      </w:r>
      <w:r w:rsidRPr="00DE4519">
        <w:rPr>
          <w:rFonts w:ascii="Times New Roman" w:hAnsi="Times New Roman" w:cs="Times New Roman"/>
          <w:sz w:val="28"/>
          <w:szCs w:val="28"/>
        </w:rPr>
        <w:t xml:space="preserve"> Северного Кавказа в состав </w:t>
      </w:r>
      <w:r>
        <w:rPr>
          <w:rFonts w:ascii="Times New Roman" w:hAnsi="Times New Roman" w:cs="Times New Roman"/>
          <w:sz w:val="28"/>
          <w:szCs w:val="28"/>
        </w:rPr>
        <w:t xml:space="preserve">империи </w:t>
      </w:r>
      <w:r w:rsidRPr="00DE4519">
        <w:rPr>
          <w:rFonts w:ascii="Times New Roman" w:hAnsi="Times New Roman" w:cs="Times New Roman"/>
          <w:sz w:val="28"/>
          <w:szCs w:val="28"/>
        </w:rPr>
        <w:t xml:space="preserve">и </w:t>
      </w:r>
      <w:r>
        <w:rPr>
          <w:rFonts w:ascii="Times New Roman" w:hAnsi="Times New Roman" w:cs="Times New Roman"/>
          <w:sz w:val="28"/>
          <w:szCs w:val="28"/>
        </w:rPr>
        <w:t xml:space="preserve">проблема выбора наиболее </w:t>
      </w:r>
      <w:r>
        <w:rPr>
          <w:rFonts w:ascii="Times New Roman" w:hAnsi="Times New Roman" w:cs="Times New Roman"/>
          <w:sz w:val="28"/>
          <w:szCs w:val="28"/>
        </w:rPr>
        <w:lastRenderedPageBreak/>
        <w:t>эффективной модели</w:t>
      </w:r>
      <w:r w:rsidRPr="00DE4519">
        <w:rPr>
          <w:rFonts w:ascii="Times New Roman" w:hAnsi="Times New Roman" w:cs="Times New Roman"/>
          <w:sz w:val="28"/>
          <w:szCs w:val="28"/>
        </w:rPr>
        <w:t xml:space="preserve"> управления </w:t>
      </w:r>
      <w:r>
        <w:rPr>
          <w:rFonts w:ascii="Times New Roman" w:hAnsi="Times New Roman" w:cs="Times New Roman"/>
          <w:sz w:val="28"/>
          <w:szCs w:val="28"/>
        </w:rPr>
        <w:t>столь</w:t>
      </w:r>
      <w:r w:rsidRPr="00DE4519">
        <w:rPr>
          <w:rFonts w:ascii="Times New Roman" w:hAnsi="Times New Roman" w:cs="Times New Roman"/>
          <w:sz w:val="28"/>
          <w:szCs w:val="28"/>
        </w:rPr>
        <w:t xml:space="preserve"> обширным регионом. </w:t>
      </w:r>
      <w:r w:rsidRPr="006A7C96">
        <w:rPr>
          <w:rFonts w:ascii="Times New Roman" w:hAnsi="Times New Roman" w:cs="Times New Roman"/>
          <w:sz w:val="28"/>
          <w:szCs w:val="28"/>
        </w:rPr>
        <w:t>В</w:t>
      </w:r>
      <w:r w:rsidRPr="009114A6">
        <w:rPr>
          <w:rFonts w:ascii="Times New Roman" w:hAnsi="Times New Roman" w:cs="Times New Roman"/>
          <w:sz w:val="28"/>
          <w:szCs w:val="28"/>
        </w:rPr>
        <w:t xml:space="preserve"> политических и военных кругах Российской империи в период с конца XVIII – начал</w:t>
      </w:r>
      <w:r>
        <w:rPr>
          <w:rFonts w:ascii="Times New Roman" w:hAnsi="Times New Roman" w:cs="Times New Roman"/>
          <w:sz w:val="28"/>
          <w:szCs w:val="28"/>
        </w:rPr>
        <w:t>а</w:t>
      </w:r>
      <w:r w:rsidRPr="009114A6">
        <w:rPr>
          <w:rFonts w:ascii="Times New Roman" w:hAnsi="Times New Roman" w:cs="Times New Roman"/>
          <w:sz w:val="28"/>
          <w:szCs w:val="28"/>
        </w:rPr>
        <w:t xml:space="preserve"> XIX в.</w:t>
      </w:r>
      <w:r w:rsidRPr="006A7C96">
        <w:rPr>
          <w:rFonts w:ascii="Times New Roman" w:hAnsi="Times New Roman" w:cs="Times New Roman"/>
          <w:sz w:val="28"/>
          <w:szCs w:val="28"/>
        </w:rPr>
        <w:t xml:space="preserve"> разрабатывались различные планы по умиротворению Кавказа, которые, по мнению их авторов, гарантировали бы успех в решении данной задачи, однако, их анализ показал отсутствии единства подходов при решении изучаемого вопроса. Поиск наиболее эффективного стратегического и тактического курса в проводимой политике на Кавказе занял длительное время, в ходе которого совершалось немало ошибок, стоивших как человеческих потерь, так и материальных.</w:t>
      </w:r>
    </w:p>
    <w:p w14:paraId="215E9524" w14:textId="77777777" w:rsidR="00340F61" w:rsidRDefault="00340F61" w:rsidP="00340F61">
      <w:pPr>
        <w:spacing w:after="0" w:line="360" w:lineRule="auto"/>
        <w:ind w:firstLine="709"/>
        <w:jc w:val="both"/>
        <w:rPr>
          <w:rFonts w:ascii="Times New Roman" w:hAnsi="Times New Roman" w:cs="Times New Roman"/>
          <w:color w:val="000000"/>
          <w:sz w:val="28"/>
          <w:szCs w:val="28"/>
        </w:rPr>
      </w:pPr>
      <w:r w:rsidRPr="00BB5483">
        <w:rPr>
          <w:rFonts w:ascii="Times New Roman" w:hAnsi="Times New Roman" w:cs="Times New Roman"/>
          <w:b/>
          <w:sz w:val="28"/>
          <w:szCs w:val="28"/>
        </w:rPr>
        <w:t xml:space="preserve">Ключевые слова: </w:t>
      </w:r>
      <w:r w:rsidRPr="00BB5483">
        <w:rPr>
          <w:rFonts w:ascii="Times New Roman" w:hAnsi="Times New Roman" w:cs="Times New Roman"/>
          <w:color w:val="000000"/>
          <w:sz w:val="28"/>
          <w:szCs w:val="28"/>
        </w:rPr>
        <w:t>Росси</w:t>
      </w:r>
      <w:r>
        <w:rPr>
          <w:rFonts w:ascii="Times New Roman" w:hAnsi="Times New Roman" w:cs="Times New Roman"/>
          <w:color w:val="000000"/>
          <w:sz w:val="28"/>
          <w:szCs w:val="28"/>
        </w:rPr>
        <w:t>йская империя</w:t>
      </w:r>
      <w:r w:rsidRPr="00BB548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Северный </w:t>
      </w:r>
      <w:r w:rsidRPr="00BB5483">
        <w:rPr>
          <w:rFonts w:ascii="Times New Roman" w:hAnsi="Times New Roman" w:cs="Times New Roman"/>
          <w:color w:val="000000"/>
          <w:sz w:val="28"/>
          <w:szCs w:val="28"/>
        </w:rPr>
        <w:t xml:space="preserve">Кавказ, </w:t>
      </w:r>
      <w:r>
        <w:rPr>
          <w:rFonts w:ascii="Times New Roman" w:hAnsi="Times New Roman" w:cs="Times New Roman"/>
          <w:color w:val="000000"/>
          <w:sz w:val="28"/>
          <w:szCs w:val="28"/>
        </w:rPr>
        <w:t>горцы, интеграция, реформы, проект, администрация</w:t>
      </w:r>
      <w:r w:rsidRPr="00BB5483">
        <w:rPr>
          <w:rFonts w:ascii="Times New Roman" w:hAnsi="Times New Roman" w:cs="Times New Roman"/>
          <w:color w:val="000000"/>
          <w:sz w:val="28"/>
          <w:szCs w:val="28"/>
        </w:rPr>
        <w:t>.</w:t>
      </w:r>
    </w:p>
    <w:p w14:paraId="448C51AE" w14:textId="6A7B8E2C" w:rsidR="00340F61" w:rsidRPr="00B163B3" w:rsidRDefault="00340F61" w:rsidP="00340F61">
      <w:pPr>
        <w:spacing w:after="0" w:line="360" w:lineRule="auto"/>
        <w:ind w:firstLine="709"/>
        <w:jc w:val="both"/>
        <w:rPr>
          <w:rFonts w:ascii="Times New Roman" w:hAnsi="Times New Roman" w:cs="Times New Roman"/>
          <w:sz w:val="28"/>
          <w:szCs w:val="28"/>
          <w:lang w:val="en-US"/>
        </w:rPr>
      </w:pPr>
    </w:p>
    <w:p w14:paraId="5626649D" w14:textId="77777777" w:rsidR="00340F61" w:rsidRPr="00BB5483" w:rsidRDefault="00340F61" w:rsidP="00340F61">
      <w:pPr>
        <w:spacing w:after="0" w:line="360" w:lineRule="auto"/>
        <w:ind w:firstLine="709"/>
        <w:jc w:val="right"/>
        <w:rPr>
          <w:rFonts w:ascii="Times New Roman" w:hAnsi="Times New Roman" w:cs="Times New Roman"/>
          <w:b/>
          <w:sz w:val="28"/>
          <w:szCs w:val="28"/>
          <w:lang w:val="en-US"/>
        </w:rPr>
      </w:pPr>
      <w:r>
        <w:rPr>
          <w:rFonts w:ascii="Times New Roman" w:hAnsi="Times New Roman" w:cs="Times New Roman"/>
          <w:b/>
          <w:sz w:val="28"/>
          <w:szCs w:val="28"/>
          <w:lang w:val="en-US"/>
        </w:rPr>
        <w:t>Marianna</w:t>
      </w:r>
      <w:r w:rsidRPr="004927D9">
        <w:rPr>
          <w:rFonts w:ascii="Times New Roman" w:hAnsi="Times New Roman" w:cs="Times New Roman"/>
          <w:b/>
          <w:sz w:val="28"/>
          <w:szCs w:val="28"/>
          <w:lang w:val="en-US"/>
        </w:rPr>
        <w:t xml:space="preserve"> </w:t>
      </w:r>
      <w:r>
        <w:rPr>
          <w:rFonts w:ascii="Times New Roman" w:hAnsi="Times New Roman" w:cs="Times New Roman"/>
          <w:b/>
          <w:sz w:val="28"/>
          <w:szCs w:val="28"/>
          <w:lang w:val="en-US"/>
        </w:rPr>
        <w:t>R. Grigoryan</w:t>
      </w:r>
    </w:p>
    <w:p w14:paraId="19EEC42A" w14:textId="77777777" w:rsidR="00340F61" w:rsidRPr="00961238" w:rsidRDefault="00340F61" w:rsidP="00340F61">
      <w:pPr>
        <w:spacing w:after="0" w:line="360" w:lineRule="auto"/>
        <w:ind w:firstLine="709"/>
        <w:jc w:val="center"/>
        <w:rPr>
          <w:rFonts w:ascii="Times New Roman" w:hAnsi="Times New Roman" w:cs="Times New Roman"/>
          <w:b/>
          <w:bCs/>
          <w:kern w:val="2"/>
          <w:sz w:val="28"/>
          <w:szCs w:val="28"/>
          <w:lang w:val="en-US"/>
        </w:rPr>
      </w:pPr>
      <w:r w:rsidRPr="00961238">
        <w:rPr>
          <w:rFonts w:ascii="Times New Roman" w:hAnsi="Times New Roman" w:cs="Times New Roman"/>
          <w:b/>
          <w:bCs/>
          <w:kern w:val="2"/>
          <w:sz w:val="28"/>
          <w:szCs w:val="28"/>
          <w:lang w:val="en-US"/>
        </w:rPr>
        <w:t xml:space="preserve">PROJECTS OF THE RUSSIAN ADMINISTRATION TO </w:t>
      </w:r>
      <w:r>
        <w:rPr>
          <w:rFonts w:ascii="Times New Roman" w:hAnsi="Times New Roman" w:cs="Times New Roman"/>
          <w:b/>
          <w:bCs/>
          <w:kern w:val="2"/>
          <w:sz w:val="28"/>
          <w:szCs w:val="28"/>
          <w:lang w:val="en-US"/>
        </w:rPr>
        <w:t>“</w:t>
      </w:r>
      <w:r w:rsidRPr="00961238">
        <w:rPr>
          <w:rFonts w:ascii="Times New Roman" w:hAnsi="Times New Roman" w:cs="Times New Roman"/>
          <w:b/>
          <w:bCs/>
          <w:kern w:val="2"/>
          <w:sz w:val="28"/>
          <w:szCs w:val="28"/>
          <w:lang w:val="en-US"/>
        </w:rPr>
        <w:t>PACIFY</w:t>
      </w:r>
      <w:r>
        <w:rPr>
          <w:rFonts w:ascii="Times New Roman" w:hAnsi="Times New Roman" w:cs="Times New Roman"/>
          <w:b/>
          <w:bCs/>
          <w:kern w:val="2"/>
          <w:sz w:val="28"/>
          <w:szCs w:val="28"/>
          <w:lang w:val="en-US"/>
        </w:rPr>
        <w:t>”</w:t>
      </w:r>
      <w:r w:rsidRPr="00961238">
        <w:rPr>
          <w:rFonts w:ascii="Times New Roman" w:hAnsi="Times New Roman" w:cs="Times New Roman"/>
          <w:b/>
          <w:bCs/>
          <w:kern w:val="2"/>
          <w:sz w:val="28"/>
          <w:szCs w:val="28"/>
          <w:lang w:val="en-US"/>
        </w:rPr>
        <w:t xml:space="preserve"> THE CAUCASUS IN THE FIRST HALF OF THE XIX CENTURY</w:t>
      </w:r>
    </w:p>
    <w:p w14:paraId="77E82CA9" w14:textId="210A22E0" w:rsidR="00340F61" w:rsidRDefault="00340F61" w:rsidP="00340F61">
      <w:pPr>
        <w:spacing w:after="0" w:line="360" w:lineRule="auto"/>
        <w:ind w:firstLine="709"/>
        <w:jc w:val="both"/>
        <w:rPr>
          <w:rFonts w:ascii="Times New Roman" w:hAnsi="Times New Roman" w:cs="Times New Roman"/>
          <w:sz w:val="28"/>
          <w:szCs w:val="28"/>
          <w:lang w:val="en-US"/>
        </w:rPr>
      </w:pPr>
      <w:r w:rsidRPr="00FC0EFD">
        <w:rPr>
          <w:rFonts w:ascii="Times New Roman" w:hAnsi="Times New Roman" w:cs="Times New Roman"/>
          <w:sz w:val="28"/>
          <w:szCs w:val="28"/>
          <w:lang w:val="en-US"/>
        </w:rPr>
        <w:t xml:space="preserve">From the earliest stages of its formation, Russia faced difficulties related not only to </w:t>
      </w:r>
      <w:r>
        <w:rPr>
          <w:rFonts w:ascii="Times New Roman" w:hAnsi="Times New Roman" w:cs="Times New Roman"/>
          <w:sz w:val="28"/>
          <w:szCs w:val="28"/>
          <w:lang w:val="en-US"/>
        </w:rPr>
        <w:t>joining</w:t>
      </w:r>
      <w:r w:rsidRPr="00FC0EFD">
        <w:rPr>
          <w:rFonts w:ascii="Times New Roman" w:hAnsi="Times New Roman" w:cs="Times New Roman"/>
          <w:sz w:val="28"/>
          <w:szCs w:val="28"/>
          <w:lang w:val="en-US"/>
        </w:rPr>
        <w:t xml:space="preserve"> new territories to the state, but also to the search for the best forms and ways of managing them, which involved the implementation of a national-state policy that fully took into account the interests of, on the one hand, the Russian Empire, and on the other hand, the newly </w:t>
      </w:r>
      <w:r>
        <w:rPr>
          <w:rFonts w:ascii="Times New Roman" w:hAnsi="Times New Roman" w:cs="Times New Roman"/>
          <w:sz w:val="28"/>
          <w:szCs w:val="28"/>
          <w:lang w:val="en-US"/>
        </w:rPr>
        <w:t>joined</w:t>
      </w:r>
      <w:r w:rsidRPr="00FC0EFD">
        <w:rPr>
          <w:rFonts w:ascii="Times New Roman" w:hAnsi="Times New Roman" w:cs="Times New Roman"/>
          <w:sz w:val="28"/>
          <w:szCs w:val="28"/>
          <w:lang w:val="en-US"/>
        </w:rPr>
        <w:t xml:space="preserve"> territories. One of such difficult tasks facing the Russian state was the process of integration of the North Caucasus into the empire and the problem of choosing the most effective management model for such a </w:t>
      </w:r>
      <w:r>
        <w:rPr>
          <w:rFonts w:ascii="Times New Roman" w:hAnsi="Times New Roman" w:cs="Times New Roman"/>
          <w:sz w:val="28"/>
          <w:szCs w:val="28"/>
          <w:lang w:val="en-US"/>
        </w:rPr>
        <w:t>big</w:t>
      </w:r>
      <w:r w:rsidRPr="00FC0EFD">
        <w:rPr>
          <w:rFonts w:ascii="Times New Roman" w:hAnsi="Times New Roman" w:cs="Times New Roman"/>
          <w:sz w:val="28"/>
          <w:szCs w:val="28"/>
          <w:lang w:val="en-US"/>
        </w:rPr>
        <w:t xml:space="preserve"> region. In the political and military circles of the Russian Empire in the pe</w:t>
      </w:r>
      <w:r>
        <w:rPr>
          <w:rFonts w:ascii="Times New Roman" w:hAnsi="Times New Roman" w:cs="Times New Roman"/>
          <w:sz w:val="28"/>
          <w:szCs w:val="28"/>
          <w:lang w:val="en-US"/>
        </w:rPr>
        <w:t>riod from the end of the XVIII to the</w:t>
      </w:r>
      <w:r w:rsidRPr="00FC0EFD">
        <w:rPr>
          <w:rFonts w:ascii="Times New Roman" w:hAnsi="Times New Roman" w:cs="Times New Roman"/>
          <w:sz w:val="28"/>
          <w:szCs w:val="28"/>
          <w:lang w:val="en-US"/>
        </w:rPr>
        <w:t xml:space="preserve"> beginning of the XIX century various plans for the pacification of the Caucasus were developed, which, according to their authors, would guarantee success in solving this problem, however, their analysis showed a lack of unity of approaches in solving the issue under study. The search for the most effective strategic and tactical course in the policy pursued in the Caucasus took a long time, during which many mistakes were made</w:t>
      </w:r>
      <w:r>
        <w:rPr>
          <w:rFonts w:ascii="Times New Roman" w:hAnsi="Times New Roman" w:cs="Times New Roman"/>
          <w:sz w:val="28"/>
          <w:szCs w:val="28"/>
          <w:lang w:val="en-US"/>
        </w:rPr>
        <w:t>. They</w:t>
      </w:r>
      <w:r w:rsidRPr="00FC0EFD">
        <w:rPr>
          <w:rFonts w:ascii="Times New Roman" w:hAnsi="Times New Roman" w:cs="Times New Roman"/>
          <w:sz w:val="28"/>
          <w:szCs w:val="28"/>
          <w:lang w:val="en-US"/>
        </w:rPr>
        <w:t>cost both human and material losses.</w:t>
      </w:r>
    </w:p>
    <w:p w14:paraId="21065272" w14:textId="2533CB13" w:rsidR="00340F61" w:rsidRDefault="00340F61" w:rsidP="00340F61">
      <w:pPr>
        <w:pStyle w:val="HTML"/>
        <w:spacing w:line="360" w:lineRule="auto"/>
        <w:ind w:firstLine="709"/>
        <w:jc w:val="both"/>
        <w:rPr>
          <w:rFonts w:ascii="Times New Roman" w:hAnsi="Times New Roman" w:cs="Times New Roman"/>
          <w:sz w:val="28"/>
          <w:szCs w:val="28"/>
          <w:lang w:val="en-US"/>
        </w:rPr>
      </w:pPr>
      <w:r w:rsidRPr="00BB5483">
        <w:rPr>
          <w:rFonts w:ascii="Times New Roman" w:hAnsi="Times New Roman" w:cs="Times New Roman"/>
          <w:b/>
          <w:sz w:val="28"/>
          <w:szCs w:val="28"/>
          <w:lang w:val="en-US"/>
        </w:rPr>
        <w:lastRenderedPageBreak/>
        <w:t>Key</w:t>
      </w:r>
      <w:r>
        <w:rPr>
          <w:rFonts w:ascii="Times New Roman" w:hAnsi="Times New Roman" w:cs="Times New Roman"/>
          <w:b/>
          <w:sz w:val="28"/>
          <w:szCs w:val="28"/>
          <w:lang w:val="en-US"/>
        </w:rPr>
        <w:t xml:space="preserve"> </w:t>
      </w:r>
      <w:r w:rsidRPr="00BB5483">
        <w:rPr>
          <w:rFonts w:ascii="Times New Roman" w:hAnsi="Times New Roman" w:cs="Times New Roman"/>
          <w:b/>
          <w:sz w:val="28"/>
          <w:szCs w:val="28"/>
          <w:lang w:val="en-US"/>
        </w:rPr>
        <w:t>words</w:t>
      </w:r>
      <w:r w:rsidRPr="002B52E2">
        <w:rPr>
          <w:rFonts w:ascii="Times New Roman" w:hAnsi="Times New Roman" w:cs="Times New Roman"/>
          <w:b/>
          <w:sz w:val="28"/>
          <w:szCs w:val="28"/>
          <w:lang w:val="en-US"/>
        </w:rPr>
        <w:t>:</w:t>
      </w:r>
      <w:r w:rsidRPr="002B52E2">
        <w:rPr>
          <w:rFonts w:ascii="Times New Roman" w:hAnsi="Times New Roman" w:cs="Times New Roman"/>
          <w:sz w:val="28"/>
          <w:szCs w:val="28"/>
          <w:lang w:val="en-US"/>
        </w:rPr>
        <w:t xml:space="preserve"> Russian Empire, North Caucasus, highlanders, </w:t>
      </w:r>
      <w:r w:rsidRPr="00436CED">
        <w:rPr>
          <w:rFonts w:ascii="Times New Roman" w:hAnsi="Times New Roman" w:cs="Times New Roman"/>
          <w:sz w:val="28"/>
          <w:szCs w:val="28"/>
          <w:lang w:val="en-US"/>
        </w:rPr>
        <w:t xml:space="preserve">integration, </w:t>
      </w:r>
      <w:r w:rsidRPr="002B52E2">
        <w:rPr>
          <w:rFonts w:ascii="Times New Roman" w:hAnsi="Times New Roman" w:cs="Times New Roman"/>
          <w:sz w:val="28"/>
          <w:szCs w:val="28"/>
          <w:lang w:val="en-US"/>
        </w:rPr>
        <w:t>r</w:t>
      </w:r>
      <w:r>
        <w:rPr>
          <w:rFonts w:ascii="Times New Roman" w:hAnsi="Times New Roman" w:cs="Times New Roman"/>
          <w:sz w:val="28"/>
          <w:szCs w:val="28"/>
          <w:lang w:val="en-US"/>
        </w:rPr>
        <w:t>eforms, project, administration</w:t>
      </w:r>
      <w:r w:rsidRPr="002B52E2">
        <w:rPr>
          <w:rFonts w:ascii="Times New Roman" w:hAnsi="Times New Roman" w:cs="Times New Roman"/>
          <w:sz w:val="28"/>
          <w:szCs w:val="28"/>
          <w:lang w:val="en-US"/>
        </w:rPr>
        <w:t>.</w:t>
      </w:r>
    </w:p>
    <w:p w14:paraId="4F0253EB" w14:textId="275A4B2B" w:rsidR="00340F61" w:rsidRDefault="00340F61" w:rsidP="00340F61">
      <w:pPr>
        <w:pStyle w:val="HTML"/>
        <w:spacing w:line="360" w:lineRule="auto"/>
        <w:ind w:firstLine="709"/>
        <w:jc w:val="both"/>
        <w:rPr>
          <w:rFonts w:ascii="Times New Roman" w:hAnsi="Times New Roman" w:cs="Times New Roman"/>
          <w:sz w:val="28"/>
          <w:szCs w:val="28"/>
          <w:lang w:val="en-US"/>
        </w:rPr>
      </w:pPr>
    </w:p>
    <w:p w14:paraId="38571DE5" w14:textId="77777777" w:rsidR="00340F61" w:rsidRPr="004927D9" w:rsidRDefault="00340F61" w:rsidP="00340F61">
      <w:pPr>
        <w:spacing w:after="0" w:line="276" w:lineRule="auto"/>
        <w:jc w:val="both"/>
        <w:rPr>
          <w:rFonts w:ascii="Times New Roman" w:eastAsia="Times New Roman" w:hAnsi="Times New Roman" w:cs="Times New Roman"/>
          <w:b/>
          <w:bCs/>
          <w:sz w:val="28"/>
          <w:szCs w:val="28"/>
          <w:lang w:eastAsia="ru-RU"/>
        </w:rPr>
      </w:pPr>
      <w:r w:rsidRPr="004927D9">
        <w:rPr>
          <w:rFonts w:ascii="Times New Roman" w:eastAsia="Times New Roman" w:hAnsi="Times New Roman" w:cs="Times New Roman"/>
          <w:b/>
          <w:bCs/>
          <w:sz w:val="28"/>
          <w:szCs w:val="28"/>
          <w:lang w:eastAsia="ru-RU"/>
        </w:rPr>
        <w:t>УДК 327 (470)</w:t>
      </w:r>
    </w:p>
    <w:p w14:paraId="01229F21" w14:textId="77777777" w:rsidR="00340F61" w:rsidRDefault="00340F61" w:rsidP="00340F61">
      <w:pPr>
        <w:spacing w:after="0" w:line="240" w:lineRule="auto"/>
        <w:jc w:val="right"/>
        <w:rPr>
          <w:rFonts w:ascii="Times New Roman" w:eastAsia="Times New Roman" w:hAnsi="Times New Roman" w:cs="Times New Roman"/>
          <w:b/>
          <w:sz w:val="28"/>
          <w:szCs w:val="28"/>
          <w:lang w:eastAsia="ru-RU"/>
        </w:rPr>
      </w:pPr>
      <w:r w:rsidRPr="00092EC3">
        <w:rPr>
          <w:rFonts w:ascii="Times New Roman" w:eastAsia="Calibri" w:hAnsi="Times New Roman" w:cs="Times New Roman"/>
          <w:b/>
          <w:bCs/>
          <w:sz w:val="28"/>
          <w:szCs w:val="28"/>
        </w:rPr>
        <w:t>http://doi.org/</w:t>
      </w:r>
      <w:r w:rsidRPr="00451EED">
        <w:rPr>
          <w:rFonts w:ascii="Times New Roman" w:eastAsia="Calibri" w:hAnsi="Times New Roman" w:cs="Times New Roman"/>
          <w:b/>
          <w:bCs/>
          <w:sz w:val="28"/>
          <w:szCs w:val="28"/>
        </w:rPr>
        <w:t>10.37493/2409-1030.2022.4.4</w:t>
      </w:r>
    </w:p>
    <w:p w14:paraId="283F6CA9" w14:textId="77777777" w:rsidR="00340F61" w:rsidRPr="004927D9" w:rsidRDefault="00340F61" w:rsidP="00340F61">
      <w:pPr>
        <w:spacing w:after="0" w:line="240" w:lineRule="auto"/>
        <w:jc w:val="right"/>
        <w:rPr>
          <w:rFonts w:ascii="Times New Roman" w:eastAsia="Times New Roman" w:hAnsi="Times New Roman" w:cs="Times New Roman"/>
          <w:b/>
          <w:sz w:val="28"/>
          <w:szCs w:val="28"/>
          <w:lang w:eastAsia="ru-RU"/>
        </w:rPr>
      </w:pPr>
      <w:r w:rsidRPr="004927D9">
        <w:rPr>
          <w:rFonts w:ascii="Times New Roman" w:eastAsia="Times New Roman" w:hAnsi="Times New Roman" w:cs="Times New Roman"/>
          <w:b/>
          <w:sz w:val="28"/>
          <w:szCs w:val="28"/>
          <w:lang w:eastAsia="ru-RU"/>
        </w:rPr>
        <w:t>А.К. Дудайти</w:t>
      </w:r>
    </w:p>
    <w:p w14:paraId="243867AA" w14:textId="77777777" w:rsidR="00340F61" w:rsidRPr="004927D9" w:rsidRDefault="00340F61" w:rsidP="00340F61">
      <w:pPr>
        <w:spacing w:after="0" w:line="240" w:lineRule="auto"/>
        <w:jc w:val="right"/>
        <w:rPr>
          <w:rFonts w:ascii="Times New Roman" w:eastAsia="Times New Roman" w:hAnsi="Times New Roman" w:cs="Times New Roman"/>
          <w:b/>
          <w:sz w:val="28"/>
          <w:szCs w:val="28"/>
          <w:lang w:eastAsia="ru-RU"/>
        </w:rPr>
      </w:pPr>
    </w:p>
    <w:p w14:paraId="22EDA2B0" w14:textId="77777777" w:rsidR="00340F61" w:rsidRPr="004927D9" w:rsidRDefault="00340F61" w:rsidP="00340F61">
      <w:pPr>
        <w:spacing w:after="0" w:line="360" w:lineRule="auto"/>
        <w:jc w:val="center"/>
        <w:rPr>
          <w:rFonts w:ascii="Times New Roman" w:eastAsia="Times New Roman" w:hAnsi="Times New Roman" w:cs="Times New Roman"/>
          <w:b/>
          <w:sz w:val="28"/>
          <w:szCs w:val="28"/>
          <w:lang w:eastAsia="ru-RU"/>
        </w:rPr>
      </w:pPr>
      <w:r w:rsidRPr="004927D9">
        <w:rPr>
          <w:rFonts w:ascii="Times New Roman" w:eastAsia="Times New Roman" w:hAnsi="Times New Roman" w:cs="Times New Roman"/>
          <w:b/>
          <w:sz w:val="28"/>
          <w:szCs w:val="28"/>
          <w:lang w:eastAsia="ru-RU"/>
        </w:rPr>
        <w:t xml:space="preserve"> ОСНОВНЫЕ НАПРАВЛЕНИЯ РЕГИОНАЛЬНОЙ ПОЛИТИКИ ИРАНА НА ЮЖНОМ КАВКАЗЕ В ПОСТСОВЕТСКИЙ ПЕРИОД </w:t>
      </w:r>
    </w:p>
    <w:p w14:paraId="1187056E" w14:textId="77777777" w:rsidR="00340F61" w:rsidRPr="004927D9" w:rsidRDefault="00340F61" w:rsidP="00340F61">
      <w:pPr>
        <w:spacing w:after="0" w:line="240" w:lineRule="auto"/>
        <w:jc w:val="center"/>
        <w:rPr>
          <w:rFonts w:ascii="Times New Roman" w:eastAsia="Times New Roman" w:hAnsi="Times New Roman" w:cs="Times New Roman"/>
          <w:b/>
          <w:sz w:val="28"/>
          <w:szCs w:val="28"/>
          <w:lang w:eastAsia="ru-RU"/>
        </w:rPr>
      </w:pPr>
      <w:r w:rsidRPr="004927D9">
        <w:rPr>
          <w:rFonts w:ascii="Times New Roman" w:eastAsia="Times New Roman" w:hAnsi="Times New Roman" w:cs="Times New Roman"/>
          <w:b/>
          <w:sz w:val="28"/>
          <w:szCs w:val="28"/>
          <w:lang w:eastAsia="ru-RU"/>
        </w:rPr>
        <w:t>(1991-2011 гг.)</w:t>
      </w:r>
      <w:r w:rsidRPr="004927D9">
        <w:rPr>
          <w:rFonts w:ascii="Times New Roman" w:eastAsia="Times New Roman" w:hAnsi="Times New Roman" w:cs="Times New Roman"/>
          <w:b/>
          <w:sz w:val="28"/>
          <w:szCs w:val="28"/>
          <w:vertAlign w:val="superscript"/>
          <w:lang w:eastAsia="ru-RU"/>
        </w:rPr>
        <w:footnoteReference w:id="3"/>
      </w:r>
      <w:r w:rsidRPr="004927D9">
        <w:rPr>
          <w:rFonts w:ascii="Times New Roman" w:eastAsia="Times New Roman" w:hAnsi="Times New Roman" w:cs="Times New Roman"/>
          <w:b/>
          <w:sz w:val="28"/>
          <w:szCs w:val="28"/>
          <w:lang w:eastAsia="ru-RU"/>
        </w:rPr>
        <w:t xml:space="preserve"> </w:t>
      </w:r>
    </w:p>
    <w:p w14:paraId="03E813BC" w14:textId="77777777" w:rsidR="00340F61" w:rsidRPr="004927D9" w:rsidRDefault="00340F61" w:rsidP="00340F61">
      <w:pPr>
        <w:spacing w:after="0" w:line="360" w:lineRule="auto"/>
        <w:ind w:firstLine="709"/>
        <w:jc w:val="both"/>
        <w:rPr>
          <w:rFonts w:ascii="Times New Roman" w:eastAsia="Times New Roman" w:hAnsi="Times New Roman" w:cs="Times New Roman"/>
          <w:sz w:val="28"/>
          <w:szCs w:val="28"/>
          <w:lang w:eastAsia="ru-RU"/>
        </w:rPr>
      </w:pPr>
      <w:r w:rsidRPr="004927D9">
        <w:rPr>
          <w:rFonts w:ascii="Times New Roman" w:eastAsia="Times New Roman" w:hAnsi="Times New Roman" w:cs="Times New Roman"/>
          <w:sz w:val="28"/>
          <w:szCs w:val="28"/>
          <w:lang w:eastAsia="ru-RU"/>
        </w:rPr>
        <w:t>В новых геополитических реалиях, сложившихся на постсоветском пространстве после 1991 г., заметно активизировалась политика Исламской Республики Иран (ИРИ) в направлении Южного Кавказа. К этому времени идеология экспорта исламской революции стала более сдержанной и осторожной, что позволило Ирану включиться в решение сложных проблем в конфликтном регионе Южного Кавказа: в частности, в начале вооруженного противостояния между Арменией и Азербайджаном из-за Нагорного Карабаха в Тегеране предложили посреднические услуги по его мирному разрешению. В региональной стратегии Ирана, реализуемой в рамках государственной идеологии «исламского» пути развития, были задействованы разные методы и возможности. Эти вопросы вызывают повышенный интерес среди отечественных исследователей, а их изучение является актуальным, имея в виду сохраняющиеся угрозы интересам национальной безопасности России в южнокавказском направлении.</w:t>
      </w:r>
    </w:p>
    <w:p w14:paraId="7949C90E" w14:textId="77777777" w:rsidR="00340F61" w:rsidRPr="004927D9" w:rsidRDefault="00340F61" w:rsidP="00340F61">
      <w:pPr>
        <w:spacing w:after="0" w:line="360" w:lineRule="auto"/>
        <w:ind w:firstLine="709"/>
        <w:jc w:val="both"/>
        <w:rPr>
          <w:rFonts w:ascii="Times New Roman" w:eastAsia="Times New Roman" w:hAnsi="Times New Roman" w:cs="Times New Roman"/>
          <w:sz w:val="28"/>
          <w:szCs w:val="28"/>
          <w:lang w:eastAsia="ru-RU"/>
        </w:rPr>
      </w:pPr>
      <w:r w:rsidRPr="004927D9">
        <w:rPr>
          <w:rFonts w:ascii="Times New Roman" w:eastAsia="Times New Roman" w:hAnsi="Times New Roman" w:cs="Times New Roman"/>
          <w:sz w:val="28"/>
          <w:szCs w:val="28"/>
          <w:lang w:eastAsia="ru-RU"/>
        </w:rPr>
        <w:t xml:space="preserve">Новизна исследования определяется тем, что в нем проведен комплексный анализ основных направлений региональной политики Ирана на Южном Кавказе, раскрыты ее особенности и характерные черты, а также формы и методы реализации. Особое внимание в работе уделено вопросам, связанным с влиянием внутренних и внешних факторов на сложные процессы </w:t>
      </w:r>
      <w:r w:rsidRPr="004927D9">
        <w:rPr>
          <w:rFonts w:ascii="Times New Roman" w:eastAsia="Times New Roman" w:hAnsi="Times New Roman" w:cs="Times New Roman"/>
          <w:sz w:val="28"/>
          <w:szCs w:val="28"/>
          <w:lang w:eastAsia="ru-RU"/>
        </w:rPr>
        <w:lastRenderedPageBreak/>
        <w:t xml:space="preserve">формирования и развития отношений Ирана с молодыми государствами Южного Кавказа. В ходе исследования установлено, в ходе проведения антизападного и в определенной степени – независимого от России внешнеполитического курса на Южном Кавказе Иран не смог достичь заметных успехов, поскольку влияние и позиции России и США в регионе оставались сильными. В целом, в работе сделан вывод, что надеждам по вхождению Ирана в круг ведущих держав, влияющих на международную обстановку на Южном Кавказе, не суждено было сбыться: для достижения этой цели, прежде всего, следовало строго придерживаться прагматичной политики, свободной от идеологических наслоений, что подтвердилось в ходе дальнейшего развития событий на Южном Кавказе.   </w:t>
      </w:r>
    </w:p>
    <w:p w14:paraId="1EB317A9" w14:textId="77777777" w:rsidR="00340F61" w:rsidRDefault="00340F61" w:rsidP="00340F61">
      <w:pPr>
        <w:spacing w:after="0" w:line="360" w:lineRule="auto"/>
        <w:ind w:firstLine="709"/>
        <w:jc w:val="both"/>
        <w:rPr>
          <w:rFonts w:ascii="Times New Roman" w:eastAsia="Times New Roman" w:hAnsi="Times New Roman" w:cs="Times New Roman"/>
          <w:sz w:val="28"/>
          <w:szCs w:val="28"/>
          <w:lang w:eastAsia="ru-RU"/>
        </w:rPr>
      </w:pPr>
      <w:r w:rsidRPr="004927D9">
        <w:rPr>
          <w:rFonts w:ascii="Times New Roman" w:eastAsia="Times New Roman" w:hAnsi="Times New Roman" w:cs="Times New Roman"/>
          <w:b/>
          <w:sz w:val="28"/>
          <w:szCs w:val="28"/>
          <w:lang w:eastAsia="ru-RU"/>
        </w:rPr>
        <w:t xml:space="preserve">Ключевые слова: </w:t>
      </w:r>
      <w:r w:rsidRPr="004927D9">
        <w:rPr>
          <w:rFonts w:ascii="Times New Roman" w:eastAsia="Times New Roman" w:hAnsi="Times New Roman" w:cs="Times New Roman"/>
          <w:bCs/>
          <w:sz w:val="28"/>
          <w:szCs w:val="28"/>
          <w:lang w:eastAsia="ru-RU"/>
        </w:rPr>
        <w:t>Иран,</w:t>
      </w:r>
      <w:r w:rsidRPr="004927D9">
        <w:rPr>
          <w:rFonts w:ascii="Times New Roman" w:eastAsia="Times New Roman" w:hAnsi="Times New Roman" w:cs="Times New Roman"/>
          <w:b/>
          <w:sz w:val="28"/>
          <w:szCs w:val="28"/>
          <w:lang w:eastAsia="ru-RU"/>
        </w:rPr>
        <w:t xml:space="preserve"> </w:t>
      </w:r>
      <w:r w:rsidRPr="004927D9">
        <w:rPr>
          <w:rFonts w:ascii="Times New Roman" w:eastAsia="Times New Roman" w:hAnsi="Times New Roman" w:cs="Times New Roman"/>
          <w:sz w:val="28"/>
          <w:szCs w:val="28"/>
          <w:lang w:eastAsia="ru-RU"/>
        </w:rPr>
        <w:t xml:space="preserve">Южный Кавказ, региональная политика, постсоветский период, Азербайджан, Армения, Грузия, взаимоотношения. </w:t>
      </w:r>
    </w:p>
    <w:p w14:paraId="579F6A1C" w14:textId="7760DC87" w:rsidR="00340F61" w:rsidRPr="00B163B3" w:rsidRDefault="00340F61" w:rsidP="00340F61">
      <w:pPr>
        <w:spacing w:after="0" w:line="360" w:lineRule="auto"/>
        <w:ind w:firstLine="709"/>
        <w:contextualSpacing/>
        <w:jc w:val="both"/>
        <w:rPr>
          <w:rFonts w:ascii="Times New Roman" w:eastAsia="Calibri" w:hAnsi="Times New Roman" w:cs="Times New Roman"/>
          <w:sz w:val="28"/>
          <w:szCs w:val="28"/>
          <w:lang w:val="en-US"/>
        </w:rPr>
      </w:pPr>
    </w:p>
    <w:p w14:paraId="19B6AB76" w14:textId="77777777" w:rsidR="00340F61" w:rsidRPr="004927D9" w:rsidRDefault="00340F61" w:rsidP="00340F61">
      <w:pPr>
        <w:spacing w:after="0" w:line="360" w:lineRule="auto"/>
        <w:jc w:val="right"/>
        <w:rPr>
          <w:rFonts w:ascii="Times New Roman" w:eastAsia="Times New Roman" w:hAnsi="Times New Roman" w:cs="Times New Roman"/>
          <w:b/>
          <w:bCs/>
          <w:sz w:val="28"/>
          <w:szCs w:val="28"/>
          <w:lang w:val="en-US" w:eastAsia="ru-RU"/>
        </w:rPr>
      </w:pPr>
      <w:r w:rsidRPr="004927D9">
        <w:rPr>
          <w:rFonts w:ascii="Times New Roman" w:eastAsia="Times New Roman" w:hAnsi="Times New Roman" w:cs="Times New Roman"/>
          <w:b/>
          <w:bCs/>
          <w:sz w:val="28"/>
          <w:szCs w:val="28"/>
          <w:lang w:val="en-US" w:eastAsia="ru-RU"/>
        </w:rPr>
        <w:t>A</w:t>
      </w:r>
      <w:r>
        <w:rPr>
          <w:rFonts w:ascii="Times New Roman" w:eastAsia="Times New Roman" w:hAnsi="Times New Roman" w:cs="Times New Roman"/>
          <w:b/>
          <w:bCs/>
          <w:sz w:val="28"/>
          <w:szCs w:val="28"/>
          <w:lang w:val="en-US" w:eastAsia="ru-RU"/>
        </w:rPr>
        <w:t xml:space="preserve">lbert </w:t>
      </w:r>
      <w:r w:rsidRPr="004927D9">
        <w:rPr>
          <w:rFonts w:ascii="Times New Roman" w:eastAsia="Times New Roman" w:hAnsi="Times New Roman" w:cs="Times New Roman"/>
          <w:b/>
          <w:bCs/>
          <w:sz w:val="28"/>
          <w:szCs w:val="28"/>
          <w:lang w:val="en-US" w:eastAsia="ru-RU"/>
        </w:rPr>
        <w:t>K. Dudaity</w:t>
      </w:r>
    </w:p>
    <w:p w14:paraId="0FDC87F1" w14:textId="77777777" w:rsidR="00340F61" w:rsidRPr="004927D9" w:rsidRDefault="00340F61" w:rsidP="00340F61">
      <w:pPr>
        <w:spacing w:after="0" w:line="360" w:lineRule="auto"/>
        <w:jc w:val="center"/>
        <w:rPr>
          <w:rFonts w:ascii="Times New Roman" w:eastAsia="Times New Roman" w:hAnsi="Times New Roman" w:cs="Times New Roman"/>
          <w:b/>
          <w:bCs/>
          <w:sz w:val="28"/>
          <w:szCs w:val="28"/>
          <w:lang w:val="en-US" w:eastAsia="ru-RU"/>
        </w:rPr>
      </w:pPr>
      <w:r w:rsidRPr="004927D9">
        <w:rPr>
          <w:rFonts w:ascii="Times New Roman" w:eastAsia="Times New Roman" w:hAnsi="Times New Roman" w:cs="Times New Roman"/>
          <w:b/>
          <w:bCs/>
          <w:sz w:val="28"/>
          <w:szCs w:val="28"/>
          <w:lang w:val="en-US" w:eastAsia="ru-RU"/>
        </w:rPr>
        <w:t>MAIN DIRECTIONS OF IRAN'S REGIONAL POLICY IN THE SOUTH CAUCASUS IN THE POST-SOVIET PERIOD</w:t>
      </w:r>
    </w:p>
    <w:p w14:paraId="1A57D343" w14:textId="77777777" w:rsidR="00340F61" w:rsidRPr="004927D9" w:rsidRDefault="00340F61" w:rsidP="00340F61">
      <w:pPr>
        <w:spacing w:after="0" w:line="240" w:lineRule="auto"/>
        <w:jc w:val="center"/>
        <w:rPr>
          <w:rFonts w:ascii="Times New Roman" w:eastAsia="Times New Roman" w:hAnsi="Times New Roman" w:cs="Times New Roman"/>
          <w:b/>
          <w:bCs/>
          <w:sz w:val="28"/>
          <w:szCs w:val="28"/>
          <w:lang w:val="en-US" w:eastAsia="ru-RU"/>
        </w:rPr>
      </w:pPr>
      <w:r w:rsidRPr="004927D9">
        <w:rPr>
          <w:rFonts w:ascii="Times New Roman" w:eastAsia="Times New Roman" w:hAnsi="Times New Roman" w:cs="Times New Roman"/>
          <w:b/>
          <w:bCs/>
          <w:sz w:val="28"/>
          <w:szCs w:val="28"/>
          <w:lang w:val="en-US" w:eastAsia="ru-RU"/>
        </w:rPr>
        <w:t>(1991-2011)</w:t>
      </w:r>
      <w:r>
        <w:rPr>
          <w:rStyle w:val="a5"/>
          <w:rFonts w:ascii="Times New Roman" w:eastAsia="Times New Roman" w:hAnsi="Times New Roman" w:cs="Times New Roman"/>
          <w:b/>
          <w:bCs/>
          <w:sz w:val="28"/>
          <w:szCs w:val="28"/>
          <w:lang w:val="en-US" w:eastAsia="ru-RU"/>
        </w:rPr>
        <w:footnoteReference w:id="4"/>
      </w:r>
    </w:p>
    <w:p w14:paraId="36507959" w14:textId="77777777" w:rsidR="00340F61" w:rsidRPr="004927D9" w:rsidRDefault="00340F61" w:rsidP="00340F61">
      <w:pPr>
        <w:spacing w:after="0" w:line="360" w:lineRule="auto"/>
        <w:ind w:firstLine="709"/>
        <w:jc w:val="both"/>
        <w:rPr>
          <w:rFonts w:ascii="Times New Roman" w:eastAsia="Times New Roman" w:hAnsi="Times New Roman" w:cs="Times New Roman"/>
          <w:sz w:val="28"/>
          <w:szCs w:val="28"/>
          <w:lang w:val="en-US" w:eastAsia="ru-RU"/>
        </w:rPr>
      </w:pPr>
      <w:r w:rsidRPr="004927D9">
        <w:rPr>
          <w:rFonts w:ascii="Times New Roman" w:eastAsia="Times New Roman" w:hAnsi="Times New Roman" w:cs="Times New Roman"/>
          <w:sz w:val="28"/>
          <w:szCs w:val="28"/>
          <w:lang w:val="en-US" w:eastAsia="ru-RU"/>
        </w:rPr>
        <w:t xml:space="preserve">In the context of the new geopolitical realities that emerged in the post-Soviet space after 1991, the </w:t>
      </w:r>
      <w:r w:rsidRPr="00B7199B">
        <w:rPr>
          <w:rFonts w:ascii="Times New Roman" w:eastAsia="Times New Roman" w:hAnsi="Times New Roman" w:cs="Times New Roman"/>
          <w:sz w:val="28"/>
          <w:szCs w:val="28"/>
          <w:lang w:val="en-US" w:eastAsia="ru-RU"/>
        </w:rPr>
        <w:t>policy</w:t>
      </w:r>
      <w:r w:rsidRPr="004927D9">
        <w:rPr>
          <w:rFonts w:ascii="Times New Roman" w:eastAsia="Times New Roman" w:hAnsi="Times New Roman" w:cs="Times New Roman"/>
          <w:sz w:val="28"/>
          <w:szCs w:val="28"/>
          <w:lang w:val="en-US" w:eastAsia="ru-RU"/>
        </w:rPr>
        <w:t xml:space="preserve"> of the Islamic Republic of Iran (IRI) in the direction of the South Caucasus became noticeably more active. During this period, the export ideology of the Islamic revolution became more restrained and cautious, which allowed Iran to take part in solving complex problems in the South Caucasus: in particular, at the very beginning of the armed conflict in Nagorno-Karabakh, Tehran offered their services in its peaceful permission. Iran's regional strategy strictly fit into the framework of the state ideology of the "Islamic" path of development, therefore, in the course of its implementation, various tactical methods and opportunities were involved. These issues continue to arouse increased interest </w:t>
      </w:r>
      <w:r w:rsidRPr="004927D9">
        <w:rPr>
          <w:rFonts w:ascii="Times New Roman" w:eastAsia="Times New Roman" w:hAnsi="Times New Roman" w:cs="Times New Roman"/>
          <w:sz w:val="28"/>
          <w:szCs w:val="28"/>
          <w:lang w:val="en-US" w:eastAsia="ru-RU"/>
        </w:rPr>
        <w:lastRenderedPageBreak/>
        <w:t>among domestic researchers, and their study is relevant, bearing in mind the remaining threats to Russia's national security interests in the South Caucasus direction.</w:t>
      </w:r>
    </w:p>
    <w:p w14:paraId="484C142A" w14:textId="77777777" w:rsidR="00340F61" w:rsidRPr="004927D9" w:rsidRDefault="00340F61" w:rsidP="00340F61">
      <w:pPr>
        <w:spacing w:after="0" w:line="360" w:lineRule="auto"/>
        <w:ind w:firstLine="709"/>
        <w:jc w:val="both"/>
        <w:rPr>
          <w:rFonts w:ascii="Times New Roman" w:eastAsia="Times New Roman" w:hAnsi="Times New Roman" w:cs="Times New Roman"/>
          <w:sz w:val="28"/>
          <w:szCs w:val="28"/>
          <w:lang w:val="en-US" w:eastAsia="ru-RU"/>
        </w:rPr>
      </w:pPr>
      <w:r w:rsidRPr="004927D9">
        <w:rPr>
          <w:rFonts w:ascii="Times New Roman" w:eastAsia="Times New Roman" w:hAnsi="Times New Roman" w:cs="Times New Roman"/>
          <w:sz w:val="28"/>
          <w:szCs w:val="28"/>
          <w:lang w:val="en-US" w:eastAsia="ru-RU"/>
        </w:rPr>
        <w:t>The novelty of the study is determined by the fact that it contains a comprehensive analysis of the main directions of Iran's regional policy in the South Caucasus, reveals its features and characteristics, as well as forms and methods of implementation. Particular attention is paid to issues related to the influence of internal and external factors on the complex processes of formation and development of Iran's relations with the young states of the South Caucasus. The study found that in the course of conducting an anti-Western and, to a certain extent, independent of Russia foreign policy in the South Caucasus, Iran could not achieve noticeable success, since the influence and positions of Russia and the United States in the region remained strong. In general, the paper concludes that the hopes of Iran joining the circle of leading powers influencing the international situation in the South Caucasus were not destined to come true: in order to achieve this goal, first of all, it was necessary to strictly adhere to a pragmatic policy free from ideological layers, which was confirmed in the course of further development of events in the South Caucasus.</w:t>
      </w:r>
    </w:p>
    <w:p w14:paraId="29AE5804" w14:textId="77777777" w:rsidR="00340F61" w:rsidRPr="004927D9" w:rsidRDefault="00340F61" w:rsidP="00340F61">
      <w:pPr>
        <w:spacing w:after="0" w:line="360" w:lineRule="auto"/>
        <w:ind w:firstLine="709"/>
        <w:jc w:val="both"/>
        <w:rPr>
          <w:rFonts w:ascii="Times New Roman" w:eastAsia="Times New Roman" w:hAnsi="Times New Roman" w:cs="Times New Roman"/>
          <w:sz w:val="28"/>
          <w:szCs w:val="28"/>
          <w:lang w:val="en-US" w:eastAsia="ru-RU"/>
        </w:rPr>
      </w:pPr>
      <w:r w:rsidRPr="004927D9">
        <w:rPr>
          <w:rFonts w:ascii="Times New Roman" w:eastAsia="Times New Roman" w:hAnsi="Times New Roman" w:cs="Times New Roman"/>
          <w:b/>
          <w:bCs/>
          <w:sz w:val="28"/>
          <w:szCs w:val="28"/>
          <w:lang w:val="en-US" w:eastAsia="ru-RU"/>
        </w:rPr>
        <w:t>Key</w:t>
      </w:r>
      <w:r>
        <w:rPr>
          <w:rFonts w:ascii="Times New Roman" w:eastAsia="Times New Roman" w:hAnsi="Times New Roman" w:cs="Times New Roman"/>
          <w:b/>
          <w:bCs/>
          <w:sz w:val="28"/>
          <w:szCs w:val="28"/>
          <w:lang w:val="en-US" w:eastAsia="ru-RU"/>
        </w:rPr>
        <w:t xml:space="preserve"> </w:t>
      </w:r>
      <w:r w:rsidRPr="004927D9">
        <w:rPr>
          <w:rFonts w:ascii="Times New Roman" w:eastAsia="Times New Roman" w:hAnsi="Times New Roman" w:cs="Times New Roman"/>
          <w:b/>
          <w:bCs/>
          <w:sz w:val="28"/>
          <w:szCs w:val="28"/>
          <w:lang w:val="en-US" w:eastAsia="ru-RU"/>
        </w:rPr>
        <w:t>words:</w:t>
      </w:r>
      <w:r w:rsidRPr="004927D9">
        <w:rPr>
          <w:rFonts w:ascii="Times New Roman" w:eastAsia="Times New Roman" w:hAnsi="Times New Roman" w:cs="Times New Roman"/>
          <w:sz w:val="28"/>
          <w:szCs w:val="28"/>
          <w:lang w:val="en-US" w:eastAsia="ru-RU"/>
        </w:rPr>
        <w:t xml:space="preserve"> Iran, South Caucasus, regional policy, post-Soviet period, Azerbaijan, Armenia, Georgia, relationships.</w:t>
      </w:r>
    </w:p>
    <w:p w14:paraId="4E028092" w14:textId="77777777" w:rsidR="00340F61" w:rsidRDefault="00340F61" w:rsidP="00340F61">
      <w:pPr>
        <w:pStyle w:val="HTML"/>
        <w:spacing w:line="360" w:lineRule="auto"/>
        <w:ind w:firstLine="709"/>
        <w:jc w:val="both"/>
        <w:rPr>
          <w:rFonts w:ascii="Times New Roman" w:hAnsi="Times New Roman" w:cs="Times New Roman"/>
          <w:sz w:val="28"/>
          <w:szCs w:val="28"/>
          <w:lang w:val="en-US"/>
        </w:rPr>
      </w:pPr>
    </w:p>
    <w:p w14:paraId="1F8B395A" w14:textId="77777777" w:rsidR="00A01FB6" w:rsidRPr="00B163B3" w:rsidRDefault="00A01FB6" w:rsidP="00A01FB6">
      <w:pPr>
        <w:spacing w:after="0" w:line="360" w:lineRule="auto"/>
        <w:rPr>
          <w:rFonts w:ascii="Times New Roman" w:eastAsia="Times New Roman" w:hAnsi="Times New Roman" w:cs="Times New Roman"/>
          <w:b/>
          <w:bCs/>
          <w:sz w:val="28"/>
          <w:szCs w:val="28"/>
          <w:lang w:eastAsia="ru-RU"/>
        </w:rPr>
      </w:pPr>
      <w:r w:rsidRPr="003B3F53">
        <w:rPr>
          <w:rFonts w:ascii="Times New Roman" w:eastAsia="Times New Roman" w:hAnsi="Times New Roman" w:cs="Times New Roman"/>
          <w:b/>
          <w:bCs/>
          <w:sz w:val="28"/>
          <w:szCs w:val="28"/>
          <w:lang w:eastAsia="ru-RU"/>
        </w:rPr>
        <w:t>УДК</w:t>
      </w:r>
      <w:r w:rsidRPr="00B163B3">
        <w:rPr>
          <w:rFonts w:ascii="Times New Roman" w:eastAsia="Times New Roman" w:hAnsi="Times New Roman" w:cs="Times New Roman"/>
          <w:b/>
          <w:bCs/>
          <w:sz w:val="28"/>
          <w:szCs w:val="28"/>
          <w:lang w:eastAsia="ru-RU"/>
        </w:rPr>
        <w:t xml:space="preserve"> 94(470.6).083</w:t>
      </w:r>
    </w:p>
    <w:p w14:paraId="3B23EB77" w14:textId="77777777" w:rsidR="00A01FB6" w:rsidRPr="00092EC3" w:rsidRDefault="00A01FB6" w:rsidP="00A01FB6">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BD0B24">
        <w:rPr>
          <w:rFonts w:ascii="Times New Roman" w:eastAsia="Calibri" w:hAnsi="Times New Roman" w:cs="Times New Roman"/>
          <w:b/>
          <w:bCs/>
          <w:sz w:val="28"/>
          <w:szCs w:val="28"/>
        </w:rPr>
        <w:t>10.37493/2409-1030.2022.4.5</w:t>
      </w:r>
    </w:p>
    <w:p w14:paraId="6C0D0FCA" w14:textId="77777777" w:rsidR="00A01FB6" w:rsidRPr="00BD0B24" w:rsidRDefault="00A01FB6" w:rsidP="00A01FB6">
      <w:pPr>
        <w:spacing w:after="0" w:line="360" w:lineRule="auto"/>
        <w:jc w:val="right"/>
        <w:rPr>
          <w:rFonts w:ascii="Times New Roman" w:eastAsia="Times New Roman" w:hAnsi="Times New Roman" w:cs="Times New Roman"/>
          <w:b/>
          <w:bCs/>
          <w:sz w:val="28"/>
          <w:szCs w:val="28"/>
          <w:lang w:eastAsia="ru-RU"/>
        </w:rPr>
      </w:pPr>
      <w:r w:rsidRPr="003B3F53">
        <w:rPr>
          <w:rFonts w:ascii="Times New Roman" w:eastAsia="Times New Roman" w:hAnsi="Times New Roman" w:cs="Times New Roman"/>
          <w:b/>
          <w:bCs/>
          <w:sz w:val="28"/>
          <w:szCs w:val="28"/>
          <w:lang w:eastAsia="ru-RU"/>
        </w:rPr>
        <w:t>Е</w:t>
      </w:r>
      <w:r w:rsidRPr="00BD0B24">
        <w:rPr>
          <w:rFonts w:ascii="Times New Roman" w:eastAsia="Times New Roman" w:hAnsi="Times New Roman" w:cs="Times New Roman"/>
          <w:b/>
          <w:bCs/>
          <w:sz w:val="28"/>
          <w:szCs w:val="28"/>
          <w:lang w:eastAsia="ru-RU"/>
        </w:rPr>
        <w:t>.</w:t>
      </w:r>
      <w:r w:rsidRPr="003B3F53">
        <w:rPr>
          <w:rFonts w:ascii="Times New Roman" w:eastAsia="Times New Roman" w:hAnsi="Times New Roman" w:cs="Times New Roman"/>
          <w:b/>
          <w:bCs/>
          <w:sz w:val="28"/>
          <w:szCs w:val="28"/>
          <w:lang w:eastAsia="ru-RU"/>
        </w:rPr>
        <w:t>И</w:t>
      </w:r>
      <w:r w:rsidRPr="00BD0B24">
        <w:rPr>
          <w:rFonts w:ascii="Times New Roman" w:eastAsia="Times New Roman" w:hAnsi="Times New Roman" w:cs="Times New Roman"/>
          <w:b/>
          <w:bCs/>
          <w:sz w:val="28"/>
          <w:szCs w:val="28"/>
          <w:lang w:eastAsia="ru-RU"/>
        </w:rPr>
        <w:t xml:space="preserve">. </w:t>
      </w:r>
      <w:r w:rsidRPr="003B3F53">
        <w:rPr>
          <w:rFonts w:ascii="Times New Roman" w:eastAsia="Times New Roman" w:hAnsi="Times New Roman" w:cs="Times New Roman"/>
          <w:b/>
          <w:bCs/>
          <w:sz w:val="28"/>
          <w:szCs w:val="28"/>
          <w:lang w:eastAsia="ru-RU"/>
        </w:rPr>
        <w:t>Кобахидзе</w:t>
      </w:r>
    </w:p>
    <w:p w14:paraId="4C23B73C" w14:textId="77777777" w:rsidR="00A01FB6" w:rsidRPr="00B163B3" w:rsidRDefault="00A01FB6" w:rsidP="00A01FB6">
      <w:pPr>
        <w:spacing w:after="0" w:line="360" w:lineRule="auto"/>
        <w:jc w:val="right"/>
        <w:rPr>
          <w:rFonts w:ascii="Times New Roman" w:eastAsia="Times New Roman" w:hAnsi="Times New Roman" w:cs="Times New Roman"/>
          <w:b/>
          <w:bCs/>
          <w:sz w:val="28"/>
          <w:szCs w:val="28"/>
          <w:lang w:eastAsia="ru-RU"/>
        </w:rPr>
      </w:pPr>
      <w:r w:rsidRPr="00BD0B24">
        <w:rPr>
          <w:rFonts w:ascii="Times New Roman" w:eastAsia="Times New Roman" w:hAnsi="Times New Roman" w:cs="Times New Roman"/>
          <w:b/>
          <w:bCs/>
          <w:sz w:val="28"/>
          <w:szCs w:val="28"/>
          <w:lang w:eastAsia="ru-RU"/>
        </w:rPr>
        <w:t xml:space="preserve"> </w:t>
      </w:r>
      <w:r w:rsidRPr="003B3F53">
        <w:rPr>
          <w:rFonts w:ascii="Times New Roman" w:eastAsia="Times New Roman" w:hAnsi="Times New Roman" w:cs="Times New Roman"/>
          <w:b/>
          <w:bCs/>
          <w:sz w:val="28"/>
          <w:szCs w:val="28"/>
          <w:lang w:eastAsia="ru-RU"/>
        </w:rPr>
        <w:t>Б</w:t>
      </w:r>
      <w:r w:rsidRPr="00B163B3">
        <w:rPr>
          <w:rFonts w:ascii="Times New Roman" w:eastAsia="Times New Roman" w:hAnsi="Times New Roman" w:cs="Times New Roman"/>
          <w:b/>
          <w:bCs/>
          <w:sz w:val="28"/>
          <w:szCs w:val="28"/>
          <w:lang w:eastAsia="ru-RU"/>
        </w:rPr>
        <w:t>.</w:t>
      </w:r>
      <w:r w:rsidRPr="003B3F53">
        <w:rPr>
          <w:rFonts w:ascii="Times New Roman" w:eastAsia="Times New Roman" w:hAnsi="Times New Roman" w:cs="Times New Roman"/>
          <w:b/>
          <w:bCs/>
          <w:sz w:val="28"/>
          <w:szCs w:val="28"/>
          <w:lang w:eastAsia="ru-RU"/>
        </w:rPr>
        <w:t>В</w:t>
      </w:r>
      <w:r w:rsidRPr="00B163B3">
        <w:rPr>
          <w:rFonts w:ascii="Times New Roman" w:eastAsia="Times New Roman" w:hAnsi="Times New Roman" w:cs="Times New Roman"/>
          <w:b/>
          <w:bCs/>
          <w:sz w:val="28"/>
          <w:szCs w:val="28"/>
          <w:lang w:eastAsia="ru-RU"/>
        </w:rPr>
        <w:t xml:space="preserve">. </w:t>
      </w:r>
      <w:r w:rsidRPr="003B3F53">
        <w:rPr>
          <w:rFonts w:ascii="Times New Roman" w:eastAsia="Times New Roman" w:hAnsi="Times New Roman" w:cs="Times New Roman"/>
          <w:b/>
          <w:bCs/>
          <w:sz w:val="28"/>
          <w:szCs w:val="28"/>
          <w:lang w:eastAsia="ru-RU"/>
        </w:rPr>
        <w:t>Туаева</w:t>
      </w:r>
    </w:p>
    <w:p w14:paraId="11396692" w14:textId="77777777" w:rsidR="00A01FB6" w:rsidRPr="003B3F53" w:rsidRDefault="00A01FB6" w:rsidP="00A01FB6">
      <w:pPr>
        <w:spacing w:after="0" w:line="360" w:lineRule="auto"/>
        <w:jc w:val="center"/>
        <w:rPr>
          <w:rFonts w:ascii="Times New Roman" w:eastAsia="Times New Roman" w:hAnsi="Times New Roman" w:cs="Times New Roman"/>
          <w:b/>
          <w:sz w:val="28"/>
          <w:szCs w:val="28"/>
          <w:lang w:eastAsia="ru-RU"/>
        </w:rPr>
      </w:pPr>
      <w:r w:rsidRPr="003B3F53">
        <w:rPr>
          <w:rFonts w:ascii="Times New Roman" w:eastAsia="Times New Roman" w:hAnsi="Times New Roman" w:cs="Times New Roman"/>
          <w:b/>
          <w:sz w:val="28"/>
          <w:szCs w:val="28"/>
          <w:lang w:eastAsia="ru-RU"/>
        </w:rPr>
        <w:t>ЯЗЫКОВАЯ ПРОБЛЕМАТИКА В ПРАВОВОМ И ОБЩЕСТВЕННОМ ДИСКУРСЕ</w:t>
      </w:r>
      <w:r w:rsidRPr="003B3F53">
        <w:rPr>
          <w:rFonts w:ascii="Times New Roman" w:eastAsia="Times New Roman" w:hAnsi="Times New Roman" w:cs="Times New Roman"/>
          <w:b/>
          <w:bCs/>
          <w:sz w:val="28"/>
          <w:szCs w:val="28"/>
          <w:lang w:eastAsia="ru-RU"/>
        </w:rPr>
        <w:t xml:space="preserve"> ОСЕТИИ НАЧАЛА XX В. (НА МАТЕРИАЛАХ РЕГИОНАЛЬНОЙ ПЕРИОДИКИ)</w:t>
      </w:r>
      <w:r w:rsidRPr="003B3F53">
        <w:rPr>
          <w:rFonts w:ascii="Times New Roman" w:eastAsia="Times New Roman" w:hAnsi="Times New Roman" w:cs="Times New Roman"/>
          <w:b/>
          <w:bCs/>
          <w:sz w:val="28"/>
          <w:szCs w:val="28"/>
          <w:vertAlign w:val="superscript"/>
          <w:lang w:eastAsia="ru-RU"/>
        </w:rPr>
        <w:footnoteReference w:id="5"/>
      </w:r>
    </w:p>
    <w:p w14:paraId="6220A67C" w14:textId="77777777" w:rsidR="00A01FB6" w:rsidRPr="003B3F53" w:rsidRDefault="00A01FB6" w:rsidP="00A01FB6">
      <w:pPr>
        <w:spacing w:after="0" w:line="360" w:lineRule="auto"/>
        <w:ind w:firstLine="709"/>
        <w:jc w:val="both"/>
        <w:rPr>
          <w:rFonts w:ascii="Times New Roman" w:eastAsia="Times New Roman" w:hAnsi="Times New Roman" w:cs="Times New Roman"/>
          <w:sz w:val="28"/>
          <w:szCs w:val="28"/>
          <w:lang w:eastAsia="ru-RU"/>
        </w:rPr>
      </w:pPr>
      <w:r w:rsidRPr="003B3F53">
        <w:rPr>
          <w:rFonts w:ascii="Times New Roman" w:eastAsia="Times New Roman" w:hAnsi="Times New Roman" w:cs="Times New Roman"/>
          <w:sz w:val="28"/>
          <w:szCs w:val="28"/>
          <w:lang w:eastAsia="ru-RU"/>
        </w:rPr>
        <w:lastRenderedPageBreak/>
        <w:t xml:space="preserve">В статье рассматривается комплекс вопросов, связанных с процессом распространения русского языка в Осетии во второй половине </w:t>
      </w:r>
      <w:r w:rsidRPr="003B3F53">
        <w:rPr>
          <w:rFonts w:ascii="Times New Roman" w:eastAsia="Times New Roman" w:hAnsi="Times New Roman" w:cs="Times New Roman"/>
          <w:sz w:val="28"/>
          <w:szCs w:val="28"/>
          <w:lang w:val="en-US" w:eastAsia="ru-RU"/>
        </w:rPr>
        <w:t>XIX</w:t>
      </w:r>
      <w:r w:rsidRPr="003B3F53">
        <w:rPr>
          <w:rFonts w:ascii="Times New Roman" w:eastAsia="Times New Roman" w:hAnsi="Times New Roman" w:cs="Times New Roman"/>
          <w:sz w:val="28"/>
          <w:szCs w:val="28"/>
          <w:lang w:eastAsia="ru-RU"/>
        </w:rPr>
        <w:t xml:space="preserve"> – начале </w:t>
      </w:r>
      <w:r w:rsidRPr="003B3F53">
        <w:rPr>
          <w:rFonts w:ascii="Times New Roman" w:eastAsia="Times New Roman" w:hAnsi="Times New Roman" w:cs="Times New Roman"/>
          <w:sz w:val="28"/>
          <w:szCs w:val="28"/>
          <w:lang w:val="en-US" w:eastAsia="ru-RU"/>
        </w:rPr>
        <w:t>XX</w:t>
      </w:r>
      <w:r w:rsidRPr="003B3F53">
        <w:rPr>
          <w:rFonts w:ascii="Times New Roman" w:eastAsia="Times New Roman" w:hAnsi="Times New Roman" w:cs="Times New Roman"/>
          <w:sz w:val="28"/>
          <w:szCs w:val="28"/>
          <w:lang w:eastAsia="ru-RU"/>
        </w:rPr>
        <w:t xml:space="preserve"> в., центральное место среди которых занимала проблема родного языка, оказавшегося на периферии образовательной деятельности местной начальной школы. Статья подготовлена на основе широкого круга разноплановых источников, в том числе законодательно-правовых актов, с преимущественным использованием материалов газетной периодики начала </w:t>
      </w:r>
      <w:r w:rsidRPr="003B3F53">
        <w:rPr>
          <w:rFonts w:ascii="Times New Roman" w:eastAsia="Times New Roman" w:hAnsi="Times New Roman" w:cs="Times New Roman"/>
          <w:sz w:val="28"/>
          <w:szCs w:val="28"/>
          <w:lang w:val="en-US" w:eastAsia="ru-RU"/>
        </w:rPr>
        <w:t>XX</w:t>
      </w:r>
      <w:r w:rsidRPr="003B3F53">
        <w:rPr>
          <w:rFonts w:ascii="Times New Roman" w:eastAsia="Times New Roman" w:hAnsi="Times New Roman" w:cs="Times New Roman"/>
          <w:sz w:val="28"/>
          <w:szCs w:val="28"/>
          <w:lang w:eastAsia="ru-RU"/>
        </w:rPr>
        <w:t xml:space="preserve"> в., издававшейся в Терской области. Анализ документальных материалов показал, что распространение русского языка на северокавказской окраине и ее языковая «русификация» обеспечивались правовой поддержкой со стороны законодателя в силу его имманентной значимости маркера российской государственности. Основное внимание в статье уделено анализу публицистического дискурса начала </w:t>
      </w:r>
      <w:r w:rsidRPr="003B3F53">
        <w:rPr>
          <w:rFonts w:ascii="Times New Roman" w:eastAsia="Times New Roman" w:hAnsi="Times New Roman" w:cs="Times New Roman"/>
          <w:sz w:val="28"/>
          <w:szCs w:val="28"/>
          <w:lang w:val="en-US" w:eastAsia="ru-RU"/>
        </w:rPr>
        <w:t>XX </w:t>
      </w:r>
      <w:r w:rsidRPr="003B3F53">
        <w:rPr>
          <w:rFonts w:ascii="Times New Roman" w:eastAsia="Times New Roman" w:hAnsi="Times New Roman" w:cs="Times New Roman"/>
          <w:sz w:val="28"/>
          <w:szCs w:val="28"/>
          <w:lang w:eastAsia="ru-RU"/>
        </w:rPr>
        <w:t xml:space="preserve">в., сложившегося в Осетии в связи с положением осетинского языка в начальной школе, которому отводились функции вспомогательного средства для освоения русского языка. Рассмотрены основные идеи и положения, высказанные представителями осетинской интеллигенции и нашедшие отражение на страницах региональной периодической печати. Признанные в Осетии педагогические авторитеты, писатели и общественные деятели выступали в защиту родного языка, оказавшегося перед угрозой полного забвения на периферии учебно-образовательной работы и потерявшего свои изначальные функции народного воспитателя и педагога. Признавая объективность факторов, определивших второстепенный статус осетинского языка (отсутствие в течение длительного времени учебников, учебных пособий и методических материалов для осетинских школ и пр.), публицисты выступали с требованиями о переводе начального обучения на родной язык учащихся, которые были поддержаны высшей кавказской администрацией. Вместе с тем передовая осетинская общественность признавала историческую обусловленность необходимости освоения горцами русского языкового пространства как фактора, смягчающего болезненный процесс адаптации к новым реалиям и </w:t>
      </w:r>
      <w:r w:rsidRPr="003B3F53">
        <w:rPr>
          <w:rFonts w:ascii="Times New Roman" w:eastAsia="Times New Roman" w:hAnsi="Times New Roman" w:cs="Times New Roman"/>
          <w:sz w:val="28"/>
          <w:szCs w:val="28"/>
          <w:lang w:eastAsia="ru-RU"/>
        </w:rPr>
        <w:lastRenderedPageBreak/>
        <w:t>обеспечивающего движение к гражданскому универсуму. Сохранение на этом пути родного языка как ядра национальной культуры воспринималось как нравственный долг интеллигенции, императив ее созидательной деятельности.</w:t>
      </w:r>
    </w:p>
    <w:p w14:paraId="199FCCC6" w14:textId="77777777" w:rsidR="00A01FB6" w:rsidRDefault="00A01FB6" w:rsidP="00A01FB6">
      <w:pPr>
        <w:spacing w:after="0" w:line="360" w:lineRule="auto"/>
        <w:ind w:firstLine="709"/>
        <w:jc w:val="both"/>
        <w:rPr>
          <w:rFonts w:ascii="Times New Roman" w:eastAsia="Times New Roman" w:hAnsi="Times New Roman" w:cs="Times New Roman"/>
          <w:sz w:val="28"/>
          <w:szCs w:val="28"/>
          <w:lang w:eastAsia="ru-RU"/>
        </w:rPr>
      </w:pPr>
      <w:r w:rsidRPr="003B3F53">
        <w:rPr>
          <w:rFonts w:ascii="Times New Roman" w:eastAsia="Times New Roman" w:hAnsi="Times New Roman" w:cs="Times New Roman"/>
          <w:b/>
          <w:sz w:val="28"/>
          <w:szCs w:val="28"/>
          <w:lang w:eastAsia="ru-RU"/>
        </w:rPr>
        <w:t>Ключевые слова</w:t>
      </w:r>
      <w:r w:rsidRPr="003B3F53">
        <w:rPr>
          <w:rFonts w:ascii="Times New Roman" w:eastAsia="Times New Roman" w:hAnsi="Times New Roman" w:cs="Times New Roman"/>
          <w:sz w:val="28"/>
          <w:szCs w:val="28"/>
          <w:lang w:eastAsia="ru-RU"/>
        </w:rPr>
        <w:t>: Осетия, русский язык, осетинский язык, «русификация», начальная школа, интеллигенция, региональная периодическая печать.</w:t>
      </w:r>
    </w:p>
    <w:p w14:paraId="116022EE" w14:textId="77777777" w:rsidR="00A01FB6" w:rsidRPr="009C2C4D" w:rsidRDefault="00A01FB6" w:rsidP="00A01FB6">
      <w:pPr>
        <w:spacing w:after="0" w:line="360" w:lineRule="auto"/>
        <w:ind w:firstLine="709"/>
        <w:jc w:val="right"/>
        <w:rPr>
          <w:rFonts w:ascii="Times New Roman" w:eastAsia="Times New Roman" w:hAnsi="Times New Roman" w:cs="Times New Roman"/>
          <w:b/>
          <w:bCs/>
          <w:sz w:val="28"/>
          <w:szCs w:val="28"/>
          <w:lang w:val="en-US" w:eastAsia="ru-RU"/>
        </w:rPr>
      </w:pPr>
      <w:r w:rsidRPr="003B3F53">
        <w:rPr>
          <w:rFonts w:ascii="Times New Roman" w:eastAsia="Times New Roman" w:hAnsi="Times New Roman" w:cs="Times New Roman"/>
          <w:b/>
          <w:bCs/>
          <w:sz w:val="28"/>
          <w:szCs w:val="28"/>
          <w:lang w:val="en-US" w:eastAsia="ru-RU"/>
        </w:rPr>
        <w:t xml:space="preserve">Elena </w:t>
      </w:r>
      <w:r w:rsidRPr="009C2C4D">
        <w:rPr>
          <w:rFonts w:ascii="Times New Roman" w:eastAsia="Times New Roman" w:hAnsi="Times New Roman" w:cs="Times New Roman"/>
          <w:b/>
          <w:bCs/>
          <w:sz w:val="28"/>
          <w:szCs w:val="28"/>
          <w:lang w:val="en-US" w:eastAsia="ru-RU"/>
        </w:rPr>
        <w:t xml:space="preserve">I. </w:t>
      </w:r>
      <w:r w:rsidRPr="003B3F53">
        <w:rPr>
          <w:rFonts w:ascii="Times New Roman" w:eastAsia="Times New Roman" w:hAnsi="Times New Roman" w:cs="Times New Roman"/>
          <w:b/>
          <w:bCs/>
          <w:sz w:val="28"/>
          <w:szCs w:val="28"/>
          <w:lang w:val="en-US" w:eastAsia="ru-RU"/>
        </w:rPr>
        <w:t>Kobakhidze</w:t>
      </w:r>
    </w:p>
    <w:p w14:paraId="3028AF06" w14:textId="77777777" w:rsidR="00A01FB6" w:rsidRPr="003B3F53" w:rsidRDefault="00A01FB6" w:rsidP="00A01FB6">
      <w:pPr>
        <w:spacing w:after="0" w:line="360" w:lineRule="auto"/>
        <w:ind w:firstLine="709"/>
        <w:jc w:val="right"/>
        <w:rPr>
          <w:rFonts w:ascii="Times New Roman" w:eastAsia="Times New Roman" w:hAnsi="Times New Roman" w:cs="Times New Roman"/>
          <w:b/>
          <w:bCs/>
          <w:sz w:val="28"/>
          <w:szCs w:val="28"/>
          <w:lang w:val="en-US" w:eastAsia="ru-RU"/>
        </w:rPr>
      </w:pPr>
      <w:r w:rsidRPr="003B3F53">
        <w:rPr>
          <w:rFonts w:ascii="Times New Roman" w:eastAsia="Times New Roman" w:hAnsi="Times New Roman" w:cs="Times New Roman"/>
          <w:b/>
          <w:bCs/>
          <w:sz w:val="28"/>
          <w:szCs w:val="28"/>
          <w:lang w:val="en-US" w:eastAsia="ru-RU"/>
        </w:rPr>
        <w:t xml:space="preserve"> Berta </w:t>
      </w:r>
      <w:r w:rsidRPr="009C2C4D">
        <w:rPr>
          <w:rFonts w:ascii="Times New Roman" w:eastAsia="Times New Roman" w:hAnsi="Times New Roman" w:cs="Times New Roman"/>
          <w:b/>
          <w:bCs/>
          <w:sz w:val="28"/>
          <w:szCs w:val="28"/>
          <w:lang w:val="en-US" w:eastAsia="ru-RU"/>
        </w:rPr>
        <w:t xml:space="preserve">V. </w:t>
      </w:r>
      <w:r w:rsidRPr="003B3F53">
        <w:rPr>
          <w:rFonts w:ascii="Times New Roman" w:eastAsia="Times New Roman" w:hAnsi="Times New Roman" w:cs="Times New Roman"/>
          <w:b/>
          <w:bCs/>
          <w:sz w:val="28"/>
          <w:szCs w:val="28"/>
          <w:lang w:val="en-US" w:eastAsia="ru-RU"/>
        </w:rPr>
        <w:t>Tuaeva</w:t>
      </w:r>
    </w:p>
    <w:p w14:paraId="23CF3340" w14:textId="77777777" w:rsidR="00A01FB6" w:rsidRPr="003B3F53" w:rsidRDefault="00A01FB6" w:rsidP="00A01FB6">
      <w:pPr>
        <w:spacing w:after="0" w:line="360" w:lineRule="auto"/>
        <w:jc w:val="center"/>
        <w:rPr>
          <w:rFonts w:ascii="Times New Roman" w:eastAsia="Times New Roman" w:hAnsi="Times New Roman" w:cs="Times New Roman"/>
          <w:b/>
          <w:sz w:val="28"/>
          <w:szCs w:val="28"/>
          <w:lang w:val="en-US" w:eastAsia="ru-RU"/>
        </w:rPr>
      </w:pPr>
      <w:r w:rsidRPr="003B3F53">
        <w:rPr>
          <w:rFonts w:ascii="Times New Roman" w:eastAsia="Times New Roman" w:hAnsi="Times New Roman" w:cs="Times New Roman"/>
          <w:b/>
          <w:sz w:val="28"/>
          <w:szCs w:val="28"/>
          <w:lang w:val="en-US" w:eastAsia="ru-RU"/>
        </w:rPr>
        <w:t>LANGUAGE PROBLEMS IN THE LEGAL AND PUBLIC DISCOURSE OF OSSETIA IN THE EARLY XX CENTURY (BY THE MATERIALS OF THE REGIONAL PERIODICALS)</w:t>
      </w:r>
      <w:r>
        <w:rPr>
          <w:rStyle w:val="a5"/>
          <w:rFonts w:ascii="Times New Roman" w:eastAsia="Times New Roman" w:hAnsi="Times New Roman" w:cs="Times New Roman"/>
          <w:b/>
          <w:sz w:val="28"/>
          <w:szCs w:val="28"/>
          <w:lang w:val="en-US" w:eastAsia="ru-RU"/>
        </w:rPr>
        <w:footnoteReference w:id="6"/>
      </w:r>
    </w:p>
    <w:p w14:paraId="5EEDEF52" w14:textId="77777777" w:rsidR="00A01FB6" w:rsidRPr="003B3F53" w:rsidRDefault="00A01FB6" w:rsidP="00A01FB6">
      <w:pPr>
        <w:spacing w:after="0" w:line="360" w:lineRule="auto"/>
        <w:ind w:firstLine="709"/>
        <w:jc w:val="both"/>
        <w:rPr>
          <w:rFonts w:ascii="Times New Roman" w:eastAsia="Times New Roman" w:hAnsi="Times New Roman" w:cs="Times New Roman"/>
          <w:sz w:val="28"/>
          <w:szCs w:val="28"/>
          <w:lang w:val="en-US" w:eastAsia="ru-RU"/>
        </w:rPr>
      </w:pPr>
      <w:r w:rsidRPr="003B3F53">
        <w:rPr>
          <w:rFonts w:ascii="Times New Roman" w:eastAsia="Times New Roman" w:hAnsi="Times New Roman" w:cs="Times New Roman"/>
          <w:sz w:val="28"/>
          <w:szCs w:val="28"/>
          <w:lang w:val="en-US" w:eastAsia="ru-RU"/>
        </w:rPr>
        <w:t xml:space="preserve">The article considers a set of issues related to the process of spreading the Russian language in Ossetia in the second half of the 19th – early 20th centuries, among which the problem of the native language occupied a central place as it was on the periphery of the educational activities of the local elementary school. The article based on a wide range of diverse sources, including legislative acts, with the primary use of materials from newspaper periodicals of the early 20th century, published in the Terek region. An analysis of documentary materials showed that the spread of the Russian language in the North Caucasian outskirts and its linguistic “Russification” was provided with legal support due to its immanent significance as a marker of Russian statehood. The main attention in the article is paid to the analysis of the journalistic discourse of early 20th century formed in Ossetia relatively the position of the Ossetian language in elementary school, which was assigned the functions of an auxiliary tool for mastering the Russian language. The main ideas and provisions expressed by representatives of the Ossetian intelligentsia and reflected in the pages of the regional periodical press are considered. Pedagogical authorities recognized in Ossetia, writers and public figures spoke out in defense of the native language, which faced the threat of complete oblivion on the periphery of </w:t>
      </w:r>
      <w:r w:rsidRPr="003B3F53">
        <w:rPr>
          <w:rFonts w:ascii="Times New Roman" w:eastAsia="Times New Roman" w:hAnsi="Times New Roman" w:cs="Times New Roman"/>
          <w:sz w:val="28"/>
          <w:szCs w:val="28"/>
          <w:lang w:val="en-US" w:eastAsia="ru-RU"/>
        </w:rPr>
        <w:lastRenderedPageBreak/>
        <w:t>educational work and lost its original functions of a folk educator and teacher. Recognizing the objectivity of the factors that determined the secondary status of the Ossetian language (the absence for a long time of textbooks, teaching aids and methodological materials for Ossetian schools, etc.), publicists came out with demands for the translation of primary education into the native language of pupils, which were supported by the highest Caucasian administration. At the same time, the advanced Ossetian public recognized the historical conditionality of the need for the mountaineers to master the Russian language space as a factor that softens the painful process of adaptation to new realities and ensures movement towards a civil universe. The preservation of the native language as the core of the national culture along this path was perceived as a moral duty of the intelligentsia, an imperative of its creative activity.</w:t>
      </w:r>
    </w:p>
    <w:p w14:paraId="69030B28" w14:textId="77777777" w:rsidR="00A01FB6" w:rsidRPr="003B3F53" w:rsidRDefault="00A01FB6" w:rsidP="00A01FB6">
      <w:pPr>
        <w:spacing w:after="0" w:line="360" w:lineRule="auto"/>
        <w:ind w:firstLine="709"/>
        <w:jc w:val="both"/>
        <w:rPr>
          <w:rFonts w:ascii="Times New Roman" w:eastAsia="Times New Roman" w:hAnsi="Times New Roman" w:cs="Times New Roman"/>
          <w:sz w:val="28"/>
          <w:szCs w:val="28"/>
          <w:lang w:val="en-US" w:eastAsia="ru-RU"/>
        </w:rPr>
      </w:pPr>
      <w:r w:rsidRPr="003B3F53">
        <w:rPr>
          <w:rFonts w:ascii="Times New Roman" w:eastAsia="Times New Roman" w:hAnsi="Times New Roman" w:cs="Times New Roman"/>
          <w:b/>
          <w:sz w:val="28"/>
          <w:szCs w:val="28"/>
          <w:lang w:val="en-US" w:eastAsia="ru-RU"/>
        </w:rPr>
        <w:t>Key words</w:t>
      </w:r>
      <w:r w:rsidRPr="003B3F53">
        <w:rPr>
          <w:rFonts w:ascii="Times New Roman" w:eastAsia="Times New Roman" w:hAnsi="Times New Roman" w:cs="Times New Roman"/>
          <w:sz w:val="28"/>
          <w:szCs w:val="28"/>
          <w:lang w:val="en-US" w:eastAsia="ru-RU"/>
        </w:rPr>
        <w:t>: Ossetia, Russian language, Ossetian language, “Russification”, elementary school, intelligentsia, regional periodicals.</w:t>
      </w:r>
    </w:p>
    <w:p w14:paraId="526EEE19" w14:textId="35E0BDE2" w:rsidR="00340F61" w:rsidRDefault="00340F61">
      <w:pPr>
        <w:rPr>
          <w:lang w:val="en-US"/>
        </w:rPr>
      </w:pPr>
    </w:p>
    <w:p w14:paraId="3D337078" w14:textId="77777777" w:rsidR="00A914FD" w:rsidRDefault="00A914FD" w:rsidP="00A914FD">
      <w:pPr>
        <w:spacing w:line="360" w:lineRule="auto"/>
        <w:ind w:firstLine="709"/>
        <w:contextualSpacing/>
        <w:rPr>
          <w:rFonts w:ascii="Times New Roman" w:hAnsi="Times New Roman" w:cs="Times New Roman"/>
          <w:b/>
          <w:bCs/>
          <w:sz w:val="28"/>
          <w:szCs w:val="28"/>
        </w:rPr>
      </w:pPr>
      <w:r w:rsidRPr="00E23B8C">
        <w:rPr>
          <w:rFonts w:ascii="Times New Roman" w:hAnsi="Times New Roman" w:cs="Times New Roman"/>
          <w:b/>
          <w:bCs/>
          <w:sz w:val="28"/>
          <w:szCs w:val="28"/>
        </w:rPr>
        <w:t>УДК 9 (С16)</w:t>
      </w:r>
    </w:p>
    <w:p w14:paraId="796E905E" w14:textId="77777777" w:rsidR="00A914FD" w:rsidRPr="00092EC3" w:rsidRDefault="00A914FD" w:rsidP="00A914FD">
      <w:pPr>
        <w:spacing w:after="0" w:line="360" w:lineRule="auto"/>
        <w:ind w:firstLine="709"/>
        <w:contextualSpacing/>
        <w:jc w:val="right"/>
        <w:rPr>
          <w:rFonts w:ascii="Times New Roman" w:eastAsia="Calibri" w:hAnsi="Times New Roman" w:cs="Times New Roman"/>
          <w:b/>
          <w:bCs/>
          <w:sz w:val="28"/>
          <w:szCs w:val="28"/>
        </w:rPr>
      </w:pPr>
      <w:bookmarkStart w:id="1" w:name="_Hlk121871119"/>
      <w:r w:rsidRPr="00092EC3">
        <w:rPr>
          <w:rFonts w:ascii="Times New Roman" w:eastAsia="Calibri" w:hAnsi="Times New Roman" w:cs="Times New Roman"/>
          <w:b/>
          <w:bCs/>
          <w:sz w:val="28"/>
          <w:szCs w:val="28"/>
        </w:rPr>
        <w:t>http://doi.org/</w:t>
      </w:r>
      <w:r w:rsidRPr="00C45EE2">
        <w:rPr>
          <w:rFonts w:ascii="Times New Roman" w:eastAsia="Calibri" w:hAnsi="Times New Roman" w:cs="Times New Roman"/>
          <w:b/>
          <w:bCs/>
          <w:sz w:val="28"/>
          <w:szCs w:val="28"/>
        </w:rPr>
        <w:t>10.37493/2409-1030.2022.4.6</w:t>
      </w:r>
    </w:p>
    <w:bookmarkEnd w:id="1"/>
    <w:p w14:paraId="21A5721E" w14:textId="77777777" w:rsidR="00A914FD" w:rsidRPr="008261A0" w:rsidRDefault="00A914FD" w:rsidP="00A914FD">
      <w:pPr>
        <w:spacing w:line="360" w:lineRule="auto"/>
        <w:ind w:firstLine="709"/>
        <w:contextualSpacing/>
        <w:jc w:val="right"/>
        <w:rPr>
          <w:rFonts w:ascii="Times New Roman Полужирный" w:hAnsi="Times New Roman Полужирный" w:cs="Times New Roman"/>
          <w:b/>
          <w:sz w:val="28"/>
          <w:szCs w:val="28"/>
        </w:rPr>
      </w:pPr>
      <w:r w:rsidRPr="008261A0">
        <w:rPr>
          <w:rFonts w:ascii="Times New Roman Полужирный" w:hAnsi="Times New Roman Полужирный" w:cs="Times New Roman"/>
          <w:b/>
          <w:sz w:val="28"/>
          <w:szCs w:val="28"/>
        </w:rPr>
        <w:t>А.А. Панарин</w:t>
      </w:r>
    </w:p>
    <w:p w14:paraId="6317A810" w14:textId="77777777" w:rsidR="00A914FD" w:rsidRPr="004E1745" w:rsidRDefault="00A914FD" w:rsidP="00A914FD">
      <w:pPr>
        <w:spacing w:line="360" w:lineRule="auto"/>
        <w:ind w:firstLine="709"/>
        <w:contextualSpacing/>
        <w:jc w:val="center"/>
        <w:rPr>
          <w:rFonts w:ascii="Times New Roman" w:hAnsi="Times New Roman" w:cs="Times New Roman"/>
          <w:b/>
          <w:sz w:val="28"/>
          <w:szCs w:val="28"/>
        </w:rPr>
      </w:pPr>
      <w:r w:rsidRPr="006C334E">
        <w:rPr>
          <w:rFonts w:ascii="Times New Roman" w:hAnsi="Times New Roman" w:cs="Times New Roman"/>
          <w:b/>
          <w:sz w:val="28"/>
          <w:szCs w:val="28"/>
        </w:rPr>
        <w:t>РОЛЬ ПРОСТЕЙШИХ ПРОИЗВОДСТВЕННЫХ ОБЪЕДИНЕНИЙ КРЕСТЬЯНСТВА И КАЗАЧЕСТВА В ВОССТАНОВЛЕНИИ СЕЛЬСКОГО ХОЗЯЙСТВА СЕВЕРНОГО КАВКАЗА (1921-1924 гг.)</w:t>
      </w:r>
    </w:p>
    <w:p w14:paraId="1D974C60" w14:textId="77777777" w:rsidR="00A914FD" w:rsidRDefault="00A914FD" w:rsidP="00A914FD">
      <w:pPr>
        <w:spacing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В статье рассматривается процесс создания и развития простейших</w:t>
      </w:r>
      <w:r w:rsidRPr="004E1745">
        <w:rPr>
          <w:rFonts w:ascii="Times New Roman" w:hAnsi="Times New Roman" w:cs="Times New Roman"/>
          <w:sz w:val="28"/>
          <w:szCs w:val="28"/>
        </w:rPr>
        <w:t xml:space="preserve"> производственны</w:t>
      </w:r>
      <w:r>
        <w:rPr>
          <w:rFonts w:ascii="Times New Roman" w:hAnsi="Times New Roman" w:cs="Times New Roman"/>
          <w:sz w:val="28"/>
          <w:szCs w:val="28"/>
        </w:rPr>
        <w:t>х</w:t>
      </w:r>
      <w:r w:rsidRPr="004E1745">
        <w:rPr>
          <w:rFonts w:ascii="Times New Roman" w:hAnsi="Times New Roman" w:cs="Times New Roman"/>
          <w:sz w:val="28"/>
          <w:szCs w:val="28"/>
        </w:rPr>
        <w:t xml:space="preserve"> объединени</w:t>
      </w:r>
      <w:r>
        <w:rPr>
          <w:rFonts w:ascii="Times New Roman" w:hAnsi="Times New Roman" w:cs="Times New Roman"/>
          <w:sz w:val="28"/>
          <w:szCs w:val="28"/>
        </w:rPr>
        <w:t>й крес</w:t>
      </w:r>
      <w:r w:rsidRPr="004E1745">
        <w:rPr>
          <w:rFonts w:ascii="Times New Roman" w:hAnsi="Times New Roman" w:cs="Times New Roman"/>
          <w:sz w:val="28"/>
          <w:szCs w:val="28"/>
        </w:rPr>
        <w:t xml:space="preserve">тьянства и казачества </w:t>
      </w:r>
      <w:r>
        <w:rPr>
          <w:rFonts w:ascii="Times New Roman" w:hAnsi="Times New Roman" w:cs="Times New Roman"/>
          <w:sz w:val="28"/>
          <w:szCs w:val="28"/>
        </w:rPr>
        <w:t>на</w:t>
      </w:r>
      <w:r w:rsidRPr="004E1745">
        <w:rPr>
          <w:rFonts w:ascii="Times New Roman" w:hAnsi="Times New Roman" w:cs="Times New Roman"/>
          <w:sz w:val="28"/>
          <w:szCs w:val="28"/>
        </w:rPr>
        <w:t xml:space="preserve"> Северно</w:t>
      </w:r>
      <w:r>
        <w:rPr>
          <w:rFonts w:ascii="Times New Roman" w:hAnsi="Times New Roman" w:cs="Times New Roman"/>
          <w:sz w:val="28"/>
          <w:szCs w:val="28"/>
        </w:rPr>
        <w:t>м</w:t>
      </w:r>
      <w:r w:rsidRPr="004E1745">
        <w:rPr>
          <w:rFonts w:ascii="Times New Roman" w:hAnsi="Times New Roman" w:cs="Times New Roman"/>
          <w:sz w:val="28"/>
          <w:szCs w:val="28"/>
        </w:rPr>
        <w:t xml:space="preserve"> Кавказ</w:t>
      </w:r>
      <w:r>
        <w:rPr>
          <w:rFonts w:ascii="Times New Roman" w:hAnsi="Times New Roman" w:cs="Times New Roman"/>
          <w:sz w:val="28"/>
          <w:szCs w:val="28"/>
        </w:rPr>
        <w:t>е в 1921</w:t>
      </w:r>
      <w:r w:rsidRPr="00493BC7">
        <w:rPr>
          <w:rFonts w:ascii="Times New Roman" w:hAnsi="Times New Roman" w:cs="Times New Roman"/>
          <w:sz w:val="28"/>
          <w:szCs w:val="28"/>
        </w:rPr>
        <w:t xml:space="preserve"> </w:t>
      </w:r>
      <w:r>
        <w:rPr>
          <w:rFonts w:ascii="Times New Roman" w:hAnsi="Times New Roman" w:cs="Times New Roman"/>
          <w:sz w:val="28"/>
          <w:szCs w:val="28"/>
        </w:rPr>
        <w:t>–</w:t>
      </w:r>
      <w:r w:rsidRPr="00493BC7">
        <w:rPr>
          <w:rFonts w:ascii="Times New Roman" w:hAnsi="Times New Roman" w:cs="Times New Roman"/>
          <w:sz w:val="28"/>
          <w:szCs w:val="28"/>
        </w:rPr>
        <w:t xml:space="preserve"> </w:t>
      </w:r>
      <w:r>
        <w:rPr>
          <w:rFonts w:ascii="Times New Roman" w:hAnsi="Times New Roman" w:cs="Times New Roman"/>
          <w:sz w:val="28"/>
          <w:szCs w:val="28"/>
        </w:rPr>
        <w:t xml:space="preserve">1924 гг. Поставленная проблема актуальна с точки зрения использования исторического опыта для совершенствования организации сельскохозяйственного производства в современной России. Анализируется состояние сельского хозяйства региона после окончания Гражданской войны. Подчеркивается крайний упадок земледелия и животноводства, приводятся сведения о значительном сокращении средств производства и людских ресурсов. Отмечается негативное влияние проводимой советским </w:t>
      </w:r>
      <w:r>
        <w:rPr>
          <w:rFonts w:ascii="Times New Roman" w:hAnsi="Times New Roman" w:cs="Times New Roman"/>
          <w:sz w:val="28"/>
          <w:szCs w:val="28"/>
        </w:rPr>
        <w:lastRenderedPageBreak/>
        <w:t>государством в начале 1920-х гг. продовольственной политики, препятствующей развитию сельского хозяйства. Освещаются принимаемые партийно-государственными органами меры по созданию производственных объединений крес</w:t>
      </w:r>
      <w:r w:rsidRPr="004E1745">
        <w:rPr>
          <w:rFonts w:ascii="Times New Roman" w:hAnsi="Times New Roman" w:cs="Times New Roman"/>
          <w:sz w:val="28"/>
          <w:szCs w:val="28"/>
        </w:rPr>
        <w:t>тьянства</w:t>
      </w:r>
      <w:r>
        <w:rPr>
          <w:rFonts w:ascii="Times New Roman" w:hAnsi="Times New Roman" w:cs="Times New Roman"/>
          <w:sz w:val="28"/>
          <w:szCs w:val="28"/>
        </w:rPr>
        <w:t>. Дается характеристика так называемой супряге и раскрывается ее значение в борьбе за расширение посевной площади. Раскрывается роль семенных хозяйств в вопросах выращивания чистосортного зерна. Рассматривается деятельность мелиоративных товариществ, отмечается их значение в развитии оросительных и водозащитных систем. Анализируется развитие животноводческих товариществ, приводятся примеры их результативной деятельности в вопросах увеличения поголовья скота и улучшения его качественных характеристик. Отмечается слабое развитие в начале 1920-х гг. машинных товариществ. Подчеркиваются положительные результаты участия простейших</w:t>
      </w:r>
      <w:r w:rsidRPr="004E1745">
        <w:rPr>
          <w:rFonts w:ascii="Times New Roman" w:hAnsi="Times New Roman" w:cs="Times New Roman"/>
          <w:sz w:val="28"/>
          <w:szCs w:val="28"/>
        </w:rPr>
        <w:t xml:space="preserve"> производственны</w:t>
      </w:r>
      <w:r>
        <w:rPr>
          <w:rFonts w:ascii="Times New Roman" w:hAnsi="Times New Roman" w:cs="Times New Roman"/>
          <w:sz w:val="28"/>
          <w:szCs w:val="28"/>
        </w:rPr>
        <w:t>х</w:t>
      </w:r>
      <w:r w:rsidRPr="004E1745">
        <w:rPr>
          <w:rFonts w:ascii="Times New Roman" w:hAnsi="Times New Roman" w:cs="Times New Roman"/>
          <w:sz w:val="28"/>
          <w:szCs w:val="28"/>
        </w:rPr>
        <w:t xml:space="preserve"> объединени</w:t>
      </w:r>
      <w:r>
        <w:rPr>
          <w:rFonts w:ascii="Times New Roman" w:hAnsi="Times New Roman" w:cs="Times New Roman"/>
          <w:sz w:val="28"/>
          <w:szCs w:val="28"/>
        </w:rPr>
        <w:t>й крес</w:t>
      </w:r>
      <w:r w:rsidRPr="004E1745">
        <w:rPr>
          <w:rFonts w:ascii="Times New Roman" w:hAnsi="Times New Roman" w:cs="Times New Roman"/>
          <w:sz w:val="28"/>
          <w:szCs w:val="28"/>
        </w:rPr>
        <w:t xml:space="preserve">тьянства и казачества </w:t>
      </w:r>
      <w:r>
        <w:rPr>
          <w:rFonts w:ascii="Times New Roman" w:hAnsi="Times New Roman" w:cs="Times New Roman"/>
          <w:sz w:val="28"/>
          <w:szCs w:val="28"/>
        </w:rPr>
        <w:t>в восстановлении и развитии сельского хозяйства на</w:t>
      </w:r>
      <w:r w:rsidRPr="004E1745">
        <w:rPr>
          <w:rFonts w:ascii="Times New Roman" w:hAnsi="Times New Roman" w:cs="Times New Roman"/>
          <w:sz w:val="28"/>
          <w:szCs w:val="28"/>
        </w:rPr>
        <w:t xml:space="preserve"> Северно</w:t>
      </w:r>
      <w:r>
        <w:rPr>
          <w:rFonts w:ascii="Times New Roman" w:hAnsi="Times New Roman" w:cs="Times New Roman"/>
          <w:sz w:val="28"/>
          <w:szCs w:val="28"/>
        </w:rPr>
        <w:t>м</w:t>
      </w:r>
      <w:r w:rsidRPr="004E1745">
        <w:rPr>
          <w:rFonts w:ascii="Times New Roman" w:hAnsi="Times New Roman" w:cs="Times New Roman"/>
          <w:sz w:val="28"/>
          <w:szCs w:val="28"/>
        </w:rPr>
        <w:t xml:space="preserve"> Кавказ</w:t>
      </w:r>
      <w:r>
        <w:rPr>
          <w:rFonts w:ascii="Times New Roman" w:hAnsi="Times New Roman" w:cs="Times New Roman"/>
          <w:sz w:val="28"/>
          <w:szCs w:val="28"/>
        </w:rPr>
        <w:t>е.</w:t>
      </w:r>
    </w:p>
    <w:p w14:paraId="5059BB31" w14:textId="77777777" w:rsidR="00A914FD" w:rsidRDefault="00A914FD" w:rsidP="00A914FD">
      <w:pPr>
        <w:spacing w:line="360" w:lineRule="auto"/>
        <w:ind w:right="-1" w:firstLine="709"/>
        <w:contextualSpacing/>
        <w:jc w:val="both"/>
        <w:rPr>
          <w:rFonts w:ascii="Times New Roman" w:hAnsi="Times New Roman" w:cs="Times New Roman"/>
          <w:sz w:val="28"/>
          <w:szCs w:val="28"/>
        </w:rPr>
      </w:pPr>
      <w:r w:rsidRPr="00161B26">
        <w:rPr>
          <w:rFonts w:ascii="Times New Roman Полужирный" w:hAnsi="Times New Roman Полужирный" w:cs="Times New Roman"/>
          <w:b/>
          <w:sz w:val="28"/>
          <w:szCs w:val="28"/>
        </w:rPr>
        <w:t>Ключевые слова:</w:t>
      </w:r>
      <w:r>
        <w:rPr>
          <w:rFonts w:ascii="Times New Roman" w:hAnsi="Times New Roman" w:cs="Times New Roman"/>
          <w:sz w:val="28"/>
          <w:szCs w:val="28"/>
        </w:rPr>
        <w:t xml:space="preserve"> простейшие</w:t>
      </w:r>
      <w:r w:rsidRPr="004E1745">
        <w:rPr>
          <w:rFonts w:ascii="Times New Roman" w:hAnsi="Times New Roman" w:cs="Times New Roman"/>
          <w:sz w:val="28"/>
          <w:szCs w:val="28"/>
        </w:rPr>
        <w:t xml:space="preserve"> производственны</w:t>
      </w:r>
      <w:r>
        <w:rPr>
          <w:rFonts w:ascii="Times New Roman" w:hAnsi="Times New Roman" w:cs="Times New Roman"/>
          <w:sz w:val="28"/>
          <w:szCs w:val="28"/>
        </w:rPr>
        <w:t>е</w:t>
      </w:r>
      <w:r w:rsidRPr="004E1745">
        <w:rPr>
          <w:rFonts w:ascii="Times New Roman" w:hAnsi="Times New Roman" w:cs="Times New Roman"/>
          <w:sz w:val="28"/>
          <w:szCs w:val="28"/>
        </w:rPr>
        <w:t xml:space="preserve"> объединени</w:t>
      </w:r>
      <w:r>
        <w:rPr>
          <w:rFonts w:ascii="Times New Roman" w:hAnsi="Times New Roman" w:cs="Times New Roman"/>
          <w:sz w:val="28"/>
          <w:szCs w:val="28"/>
        </w:rPr>
        <w:t>я, крес</w:t>
      </w:r>
      <w:r w:rsidRPr="004E1745">
        <w:rPr>
          <w:rFonts w:ascii="Times New Roman" w:hAnsi="Times New Roman" w:cs="Times New Roman"/>
          <w:sz w:val="28"/>
          <w:szCs w:val="28"/>
        </w:rPr>
        <w:t>тьянств</w:t>
      </w:r>
      <w:r>
        <w:rPr>
          <w:rFonts w:ascii="Times New Roman" w:hAnsi="Times New Roman" w:cs="Times New Roman"/>
          <w:sz w:val="28"/>
          <w:szCs w:val="28"/>
        </w:rPr>
        <w:t xml:space="preserve">о, казачество, восстановление сельского хозяйства, советское государство, </w:t>
      </w:r>
      <w:r w:rsidRPr="004E1745">
        <w:rPr>
          <w:rFonts w:ascii="Times New Roman" w:hAnsi="Times New Roman" w:cs="Times New Roman"/>
          <w:sz w:val="28"/>
          <w:szCs w:val="28"/>
        </w:rPr>
        <w:t>Северн</w:t>
      </w:r>
      <w:r>
        <w:rPr>
          <w:rFonts w:ascii="Times New Roman" w:hAnsi="Times New Roman" w:cs="Times New Roman"/>
          <w:sz w:val="28"/>
          <w:szCs w:val="28"/>
        </w:rPr>
        <w:t>ый</w:t>
      </w:r>
      <w:r w:rsidRPr="004E1745">
        <w:rPr>
          <w:rFonts w:ascii="Times New Roman" w:hAnsi="Times New Roman" w:cs="Times New Roman"/>
          <w:sz w:val="28"/>
          <w:szCs w:val="28"/>
        </w:rPr>
        <w:t xml:space="preserve"> Кавказ</w:t>
      </w:r>
      <w:r>
        <w:rPr>
          <w:rFonts w:ascii="Times New Roman" w:hAnsi="Times New Roman" w:cs="Times New Roman"/>
          <w:sz w:val="28"/>
          <w:szCs w:val="28"/>
        </w:rPr>
        <w:t xml:space="preserve">.  </w:t>
      </w:r>
    </w:p>
    <w:p w14:paraId="389EFF49" w14:textId="77777777" w:rsidR="00A914FD" w:rsidRPr="008261A0" w:rsidRDefault="00A914FD" w:rsidP="00A914FD">
      <w:pPr>
        <w:spacing w:line="360" w:lineRule="auto"/>
        <w:ind w:firstLine="709"/>
        <w:contextualSpacing/>
        <w:jc w:val="right"/>
        <w:rPr>
          <w:rFonts w:ascii="Times New Roman Полужирный" w:hAnsi="Times New Roman Полужирный" w:cs="Times New Roman"/>
          <w:b/>
          <w:sz w:val="28"/>
          <w:szCs w:val="28"/>
          <w:lang w:val="en-US"/>
        </w:rPr>
      </w:pPr>
      <w:r w:rsidRPr="008261A0">
        <w:rPr>
          <w:rFonts w:ascii="Times New Roman Полужирный" w:hAnsi="Times New Roman Полужирный" w:cs="Times New Roman"/>
          <w:b/>
          <w:sz w:val="28"/>
          <w:szCs w:val="28"/>
          <w:lang w:val="en-US"/>
        </w:rPr>
        <w:t>A</w:t>
      </w:r>
      <w:r>
        <w:rPr>
          <w:rFonts w:ascii="Times New Roman Полужирный" w:hAnsi="Times New Roman Полужирный" w:cs="Times New Roman"/>
          <w:b/>
          <w:sz w:val="28"/>
          <w:szCs w:val="28"/>
          <w:lang w:val="en-US"/>
        </w:rPr>
        <w:t>ndrey A.</w:t>
      </w:r>
      <w:r w:rsidRPr="008261A0">
        <w:rPr>
          <w:rFonts w:ascii="Times New Roman Полужирный" w:hAnsi="Times New Roman Полужирный" w:cs="Times New Roman"/>
          <w:b/>
          <w:sz w:val="28"/>
          <w:szCs w:val="28"/>
          <w:lang w:val="en-US"/>
        </w:rPr>
        <w:t xml:space="preserve"> Panarin</w:t>
      </w:r>
    </w:p>
    <w:p w14:paraId="46B465B7" w14:textId="77777777" w:rsidR="00A914FD" w:rsidRPr="00640EB9" w:rsidRDefault="00A914FD" w:rsidP="00A914FD">
      <w:pPr>
        <w:spacing w:line="360" w:lineRule="auto"/>
        <w:ind w:firstLine="709"/>
        <w:contextualSpacing/>
        <w:jc w:val="center"/>
        <w:rPr>
          <w:rFonts w:ascii="Times New Roman Полужирный" w:hAnsi="Times New Roman Полужирный" w:cs="Times New Roman"/>
          <w:b/>
          <w:sz w:val="28"/>
          <w:szCs w:val="28"/>
          <w:lang w:val="en-US"/>
        </w:rPr>
      </w:pPr>
      <w:r w:rsidRPr="00640EB9">
        <w:rPr>
          <w:rFonts w:ascii="Times New Roman Полужирный" w:hAnsi="Times New Roman Полужирный" w:cs="Times New Roman"/>
          <w:b/>
          <w:sz w:val="28"/>
          <w:szCs w:val="28"/>
          <w:lang w:val="en-US"/>
        </w:rPr>
        <w:t xml:space="preserve">THE ROLE OF </w:t>
      </w:r>
      <w:r>
        <w:rPr>
          <w:rFonts w:ascii="Times New Roman Полужирный" w:hAnsi="Times New Roman Полужирный" w:cs="Times New Roman"/>
          <w:b/>
          <w:sz w:val="28"/>
          <w:szCs w:val="28"/>
          <w:lang w:val="en-US"/>
        </w:rPr>
        <w:t>ORDINARY</w:t>
      </w:r>
      <w:r w:rsidRPr="00640EB9">
        <w:rPr>
          <w:rFonts w:ascii="Times New Roman Полужирный" w:hAnsi="Times New Roman Полужирный" w:cs="Times New Roman"/>
          <w:b/>
          <w:sz w:val="28"/>
          <w:szCs w:val="28"/>
          <w:lang w:val="en-US"/>
        </w:rPr>
        <w:t xml:space="preserve"> PRODUCTION ASSOCIATIONS OF THE PEASANTRY AND COSSACKS IN THE RESTORATION OF AGRICULTURE IN THE NORTH CAUCASUS (1921</w:t>
      </w:r>
      <w:r>
        <w:rPr>
          <w:rFonts w:ascii="Times New Roman Полужирный" w:hAnsi="Times New Roman Полужирный" w:cs="Times New Roman"/>
          <w:b/>
          <w:sz w:val="28"/>
          <w:szCs w:val="28"/>
          <w:lang w:val="en-US"/>
        </w:rPr>
        <w:t xml:space="preserve"> </w:t>
      </w:r>
      <w:r w:rsidRPr="00640EB9">
        <w:rPr>
          <w:rFonts w:ascii="Times New Roman Полужирный" w:hAnsi="Times New Roman Полужирный" w:cs="Times New Roman"/>
          <w:b/>
          <w:sz w:val="28"/>
          <w:szCs w:val="28"/>
          <w:lang w:val="en-US"/>
        </w:rPr>
        <w:t>-</w:t>
      </w:r>
      <w:r>
        <w:rPr>
          <w:rFonts w:ascii="Times New Roman Полужирный" w:hAnsi="Times New Roman Полужирный" w:cs="Times New Roman"/>
          <w:b/>
          <w:sz w:val="28"/>
          <w:szCs w:val="28"/>
          <w:lang w:val="en-US"/>
        </w:rPr>
        <w:t xml:space="preserve"> </w:t>
      </w:r>
      <w:r w:rsidRPr="00640EB9">
        <w:rPr>
          <w:rFonts w:ascii="Times New Roman Полужирный" w:hAnsi="Times New Roman Полужирный" w:cs="Times New Roman"/>
          <w:b/>
          <w:sz w:val="28"/>
          <w:szCs w:val="28"/>
          <w:lang w:val="en-US"/>
        </w:rPr>
        <w:t>1924)</w:t>
      </w:r>
    </w:p>
    <w:p w14:paraId="11AF014A" w14:textId="77777777" w:rsidR="00A914FD" w:rsidRPr="00640EB9" w:rsidRDefault="00A914FD" w:rsidP="00A914FD">
      <w:pPr>
        <w:spacing w:line="360" w:lineRule="auto"/>
        <w:ind w:right="-1" w:firstLine="709"/>
        <w:contextualSpacing/>
        <w:jc w:val="both"/>
        <w:rPr>
          <w:rFonts w:ascii="Times New Roman" w:hAnsi="Times New Roman" w:cs="Times New Roman"/>
          <w:sz w:val="28"/>
          <w:szCs w:val="28"/>
          <w:lang w:val="en-US"/>
        </w:rPr>
      </w:pPr>
      <w:r w:rsidRPr="00640EB9">
        <w:rPr>
          <w:rFonts w:ascii="Times New Roman" w:hAnsi="Times New Roman" w:cs="Times New Roman"/>
          <w:sz w:val="28"/>
          <w:szCs w:val="28"/>
          <w:lang w:val="en-US"/>
        </w:rPr>
        <w:t xml:space="preserve">The article examines the process of creation and development of the simplest production associations of the peasantry and Cossacks in the North Caucasus in 1921-1924. </w:t>
      </w:r>
      <w:r w:rsidRPr="00E27D36">
        <w:rPr>
          <w:rFonts w:ascii="Times New Roman" w:hAnsi="Times New Roman" w:cs="Times New Roman"/>
          <w:sz w:val="28"/>
          <w:szCs w:val="28"/>
          <w:lang w:val="en-US"/>
        </w:rPr>
        <w:t xml:space="preserve">The problem posed is relevant from the point of view of using historical experience to improve the organization of agricultural production in modern Russia. </w:t>
      </w:r>
      <w:r w:rsidRPr="00640EB9">
        <w:rPr>
          <w:rFonts w:ascii="Times New Roman" w:hAnsi="Times New Roman" w:cs="Times New Roman"/>
          <w:sz w:val="28"/>
          <w:szCs w:val="28"/>
          <w:lang w:val="en-US"/>
        </w:rPr>
        <w:t xml:space="preserve">The state of agriculture in the region after the end of the Civil War is analyzed. The extreme decline of agriculture and animal husbandry is emphasized, information is provided on a significant reduction in means of production and human resources. The negative impact of the food policy pursued by the Soviet state in the early 1920s, </w:t>
      </w:r>
      <w:r w:rsidRPr="00640EB9">
        <w:rPr>
          <w:rFonts w:ascii="Times New Roman" w:hAnsi="Times New Roman" w:cs="Times New Roman"/>
          <w:sz w:val="28"/>
          <w:szCs w:val="28"/>
          <w:lang w:val="en-US"/>
        </w:rPr>
        <w:lastRenderedPageBreak/>
        <w:t>which hindered the development of agriculture, is noted. The measures taken by the party and state bodies to create production associations of the peasantry are highlighted. The characteristic of the so-called supryage is given and its significance in the struggle for the expansion of the sown area is revealed. The role of seed farms in the cultivation of pure grain is revealed. The activity of reclamation associations is considered, their importance in the development of irrigation and water protection systems is noted. The development of livestock associations is analyzed, examples of their effective activities in increasing the number of livestock and improving its quality characteristics are given. There is a weak development of machine partnerships in the early 1920s. The positive results of the participation of the simplest production associations of the peasantry and Cossacks in the restoration and development of agriculture in the North Caucasus are emphasized.</w:t>
      </w:r>
    </w:p>
    <w:p w14:paraId="01D12544" w14:textId="77777777" w:rsidR="00A914FD" w:rsidRPr="00640EB9" w:rsidRDefault="00A914FD" w:rsidP="00A914FD">
      <w:pPr>
        <w:spacing w:line="360" w:lineRule="auto"/>
        <w:ind w:right="-1" w:firstLine="709"/>
        <w:contextualSpacing/>
        <w:jc w:val="both"/>
        <w:rPr>
          <w:rFonts w:ascii="Times New Roman" w:hAnsi="Times New Roman" w:cs="Times New Roman"/>
          <w:sz w:val="28"/>
          <w:szCs w:val="28"/>
          <w:lang w:val="en-US"/>
        </w:rPr>
      </w:pPr>
      <w:r w:rsidRPr="00640EB9">
        <w:rPr>
          <w:rFonts w:ascii="Times New Roman Полужирный" w:hAnsi="Times New Roman Полужирный" w:cs="Times New Roman"/>
          <w:b/>
          <w:sz w:val="28"/>
          <w:szCs w:val="28"/>
          <w:lang w:val="en-US"/>
        </w:rPr>
        <w:t>Key</w:t>
      </w:r>
      <w:r w:rsidRPr="00640EB9">
        <w:rPr>
          <w:rFonts w:cs="Times New Roman"/>
          <w:b/>
          <w:sz w:val="28"/>
          <w:szCs w:val="28"/>
          <w:lang w:val="en-US"/>
        </w:rPr>
        <w:t xml:space="preserve"> </w:t>
      </w:r>
      <w:r w:rsidRPr="00640EB9">
        <w:rPr>
          <w:rFonts w:ascii="Times New Roman Полужирный" w:hAnsi="Times New Roman Полужирный" w:cs="Times New Roman"/>
          <w:b/>
          <w:sz w:val="28"/>
          <w:szCs w:val="28"/>
          <w:lang w:val="en-US"/>
        </w:rPr>
        <w:t>words:</w:t>
      </w:r>
      <w:r w:rsidRPr="00640EB9">
        <w:rPr>
          <w:rFonts w:ascii="Times New Roman" w:hAnsi="Times New Roman" w:cs="Times New Roman"/>
          <w:sz w:val="28"/>
          <w:szCs w:val="28"/>
          <w:lang w:val="en-US"/>
        </w:rPr>
        <w:t xml:space="preserve"> </w:t>
      </w:r>
      <w:r>
        <w:rPr>
          <w:rFonts w:ascii="Times New Roman" w:hAnsi="Times New Roman" w:cs="Times New Roman"/>
          <w:sz w:val="28"/>
          <w:szCs w:val="28"/>
          <w:lang w:val="en-US"/>
        </w:rPr>
        <w:t>ordinary</w:t>
      </w:r>
      <w:r w:rsidRPr="00640EB9">
        <w:rPr>
          <w:rFonts w:ascii="Times New Roman" w:hAnsi="Times New Roman" w:cs="Times New Roman"/>
          <w:sz w:val="28"/>
          <w:szCs w:val="28"/>
          <w:lang w:val="en-US"/>
        </w:rPr>
        <w:t xml:space="preserve"> indus</w:t>
      </w:r>
      <w:r>
        <w:rPr>
          <w:rFonts w:ascii="Times New Roman" w:hAnsi="Times New Roman" w:cs="Times New Roman"/>
          <w:sz w:val="28"/>
          <w:szCs w:val="28"/>
          <w:lang w:val="en-US"/>
        </w:rPr>
        <w:t>trial associations, peasantry, c</w:t>
      </w:r>
      <w:r w:rsidRPr="00640EB9">
        <w:rPr>
          <w:rFonts w:ascii="Times New Roman" w:hAnsi="Times New Roman" w:cs="Times New Roman"/>
          <w:sz w:val="28"/>
          <w:szCs w:val="28"/>
          <w:lang w:val="en-US"/>
        </w:rPr>
        <w:t>ossacks, restoration of agriculture, the Soviet state, the North Caucasus.</w:t>
      </w:r>
    </w:p>
    <w:p w14:paraId="09E14718" w14:textId="3C6255F7" w:rsidR="00172CA7" w:rsidRDefault="00172CA7">
      <w:pPr>
        <w:rPr>
          <w:lang w:val="en-US"/>
        </w:rPr>
      </w:pPr>
    </w:p>
    <w:p w14:paraId="0A3C4925" w14:textId="77777777" w:rsidR="001056D7" w:rsidRPr="0041101F" w:rsidRDefault="001056D7" w:rsidP="001056D7">
      <w:pPr>
        <w:spacing w:after="0" w:line="360" w:lineRule="auto"/>
        <w:rPr>
          <w:rFonts w:ascii="Times New Roman" w:eastAsia="Times New Roman" w:hAnsi="Times New Roman" w:cs="Times New Roman"/>
          <w:b/>
          <w:sz w:val="28"/>
          <w:szCs w:val="28"/>
          <w:lang w:eastAsia="ru-RU"/>
        </w:rPr>
      </w:pPr>
      <w:r w:rsidRPr="0041101F">
        <w:rPr>
          <w:rFonts w:ascii="Times New Roman" w:eastAsia="Times New Roman" w:hAnsi="Times New Roman" w:cs="Times New Roman"/>
          <w:b/>
          <w:sz w:val="28"/>
          <w:szCs w:val="28"/>
          <w:lang w:eastAsia="ru-RU"/>
        </w:rPr>
        <w:t>УДК 94(47/55)"1914/19"</w:t>
      </w:r>
    </w:p>
    <w:p w14:paraId="45CED287" w14:textId="77777777" w:rsidR="001056D7" w:rsidRPr="00092EC3" w:rsidRDefault="001056D7" w:rsidP="001056D7">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2E6305">
        <w:rPr>
          <w:rFonts w:ascii="Times New Roman" w:eastAsia="Calibri" w:hAnsi="Times New Roman" w:cs="Times New Roman"/>
          <w:b/>
          <w:bCs/>
          <w:sz w:val="28"/>
          <w:szCs w:val="28"/>
        </w:rPr>
        <w:t>10.37493/2409-1030.2022.4.7</w:t>
      </w:r>
    </w:p>
    <w:p w14:paraId="2A6F66D3" w14:textId="77777777" w:rsidR="001056D7" w:rsidRPr="00CE0F40" w:rsidRDefault="001056D7" w:rsidP="001056D7">
      <w:pPr>
        <w:spacing w:after="0" w:line="360" w:lineRule="auto"/>
        <w:ind w:firstLine="709"/>
        <w:jc w:val="right"/>
        <w:rPr>
          <w:rFonts w:ascii="Times New Roman" w:eastAsia="Times New Roman" w:hAnsi="Times New Roman" w:cs="Times New Roman"/>
          <w:b/>
          <w:bCs/>
          <w:sz w:val="28"/>
          <w:szCs w:val="28"/>
          <w:lang w:eastAsia="ru-RU"/>
        </w:rPr>
      </w:pPr>
      <w:r w:rsidRPr="00CE0F40">
        <w:rPr>
          <w:rFonts w:ascii="Times New Roman" w:eastAsia="Times New Roman" w:hAnsi="Times New Roman" w:cs="Times New Roman"/>
          <w:b/>
          <w:bCs/>
          <w:sz w:val="28"/>
          <w:szCs w:val="28"/>
          <w:lang w:eastAsia="ru-RU"/>
        </w:rPr>
        <w:t>Т.В.</w:t>
      </w:r>
      <w:r>
        <w:rPr>
          <w:rFonts w:ascii="Times New Roman" w:eastAsia="Times New Roman" w:hAnsi="Times New Roman" w:cs="Times New Roman"/>
          <w:b/>
          <w:bCs/>
          <w:sz w:val="28"/>
          <w:szCs w:val="28"/>
          <w:lang w:eastAsia="ru-RU"/>
        </w:rPr>
        <w:t xml:space="preserve"> </w:t>
      </w:r>
      <w:r w:rsidRPr="00CE0F40">
        <w:rPr>
          <w:rFonts w:ascii="Times New Roman" w:eastAsia="Times New Roman" w:hAnsi="Times New Roman" w:cs="Times New Roman"/>
          <w:b/>
          <w:bCs/>
          <w:sz w:val="28"/>
          <w:szCs w:val="28"/>
          <w:lang w:eastAsia="ru-RU"/>
        </w:rPr>
        <w:t xml:space="preserve">Пантюхина </w:t>
      </w:r>
    </w:p>
    <w:p w14:paraId="0EC88811" w14:textId="77777777" w:rsidR="001056D7" w:rsidRPr="00CE0F40" w:rsidRDefault="001056D7" w:rsidP="001056D7">
      <w:pPr>
        <w:spacing w:after="0" w:line="360" w:lineRule="auto"/>
        <w:ind w:firstLine="709"/>
        <w:jc w:val="center"/>
        <w:rPr>
          <w:rFonts w:ascii="Times New Roman" w:eastAsia="Times New Roman" w:hAnsi="Times New Roman" w:cs="Times New Roman"/>
          <w:b/>
          <w:bCs/>
          <w:sz w:val="28"/>
          <w:szCs w:val="28"/>
          <w:lang w:eastAsia="ru-RU"/>
        </w:rPr>
      </w:pPr>
      <w:r w:rsidRPr="00CE0F40">
        <w:rPr>
          <w:rFonts w:ascii="Times New Roman" w:eastAsia="Times New Roman" w:hAnsi="Times New Roman" w:cs="Times New Roman"/>
          <w:b/>
          <w:bCs/>
          <w:sz w:val="28"/>
          <w:szCs w:val="28"/>
          <w:lang w:eastAsia="ru-RU"/>
        </w:rPr>
        <w:t>ВЕЛИКОБРИТАНИЯ В БОРЬБЕ ЗА ИРАНСКУЮ НЕФТЬ В ГОДЫ ПЕРВОЙ МИРОВОЙ ВОЙНЫ</w:t>
      </w:r>
    </w:p>
    <w:p w14:paraId="3E18BEBB" w14:textId="77777777" w:rsidR="001056D7" w:rsidRPr="0041101F" w:rsidRDefault="001056D7" w:rsidP="001056D7">
      <w:pPr>
        <w:spacing w:after="0" w:line="360" w:lineRule="auto"/>
        <w:ind w:firstLine="709"/>
        <w:jc w:val="both"/>
        <w:rPr>
          <w:rFonts w:ascii="Times New Roman" w:eastAsia="Times New Roman" w:hAnsi="Times New Roman" w:cs="Times New Roman"/>
          <w:sz w:val="28"/>
          <w:szCs w:val="28"/>
          <w:lang w:eastAsia="ru-RU"/>
        </w:rPr>
      </w:pPr>
      <w:r w:rsidRPr="0041101F">
        <w:rPr>
          <w:rFonts w:ascii="Times New Roman" w:eastAsia="Times New Roman" w:hAnsi="Times New Roman" w:cs="Times New Roman"/>
          <w:sz w:val="28"/>
          <w:szCs w:val="28"/>
          <w:lang w:eastAsia="ru-RU"/>
        </w:rPr>
        <w:t xml:space="preserve"> В статье освещается участие Великобритании в борьбе за установление контроля над нефтяными месторождениями и нефтяной промышленностью в Иране (Персии) и на Южном Кавказе в 1914</w:t>
      </w:r>
      <w:r>
        <w:rPr>
          <w:rFonts w:ascii="Times New Roman" w:eastAsia="Times New Roman" w:hAnsi="Times New Roman" w:cs="Times New Roman"/>
          <w:sz w:val="28"/>
          <w:szCs w:val="28"/>
          <w:lang w:eastAsia="ru-RU"/>
        </w:rPr>
        <w:t xml:space="preserve"> – </w:t>
      </w:r>
      <w:r w:rsidRPr="0041101F">
        <w:rPr>
          <w:rFonts w:ascii="Times New Roman" w:eastAsia="Times New Roman" w:hAnsi="Times New Roman" w:cs="Times New Roman"/>
          <w:sz w:val="28"/>
          <w:szCs w:val="28"/>
          <w:lang w:eastAsia="ru-RU"/>
        </w:rPr>
        <w:t xml:space="preserve">1918гг., что не являлось предметом специального исследования в отечественной историографии. Накануне войны Великобритания фактически контролировала добычу и переработку нефти в Персии посредством Англо-Персидской Нефтяной Компании. С началом войны британские интересы в регионе оказались под угрозой со стороны Германии и Османской империи, стремившихся оспорить британскую монополию на персидскую нефть. Несмотря на то, что территория Персии осталась в стороне от крупных сражений Первой мировой, страна </w:t>
      </w:r>
      <w:r w:rsidRPr="0041101F">
        <w:rPr>
          <w:rFonts w:ascii="Times New Roman" w:eastAsia="Times New Roman" w:hAnsi="Times New Roman" w:cs="Times New Roman"/>
          <w:sz w:val="28"/>
          <w:szCs w:val="28"/>
          <w:lang w:eastAsia="ru-RU"/>
        </w:rPr>
        <w:lastRenderedPageBreak/>
        <w:t>явилась стратегически важным театром военных действий прежде всего для Великобритании. Английские войска, дислоцированные в Персии, держали под контролем территорию южной Персии, в то время как север страны контролировался русскими войсками. После выхода России из войны в конце1917</w:t>
      </w:r>
      <w:r>
        <w:rPr>
          <w:rFonts w:ascii="Times New Roman" w:eastAsia="Times New Roman" w:hAnsi="Times New Roman" w:cs="Times New Roman"/>
          <w:sz w:val="28"/>
          <w:szCs w:val="28"/>
          <w:lang w:eastAsia="ru-RU"/>
        </w:rPr>
        <w:t xml:space="preserve"> </w:t>
      </w:r>
      <w:r w:rsidRPr="0041101F">
        <w:rPr>
          <w:rFonts w:ascii="Times New Roman" w:eastAsia="Times New Roman" w:hAnsi="Times New Roman" w:cs="Times New Roman"/>
          <w:sz w:val="28"/>
          <w:szCs w:val="28"/>
          <w:lang w:eastAsia="ru-RU"/>
        </w:rPr>
        <w:t>г. возникла угроза усиления позиций турецких войск и их союзников в Персии и их продвижения на Кавказ, к нефтеносным месторождениям Баку. Для противодействия данной угрозе был сформирован специальный экспедиционный корпус, получивший название «Данстерфорс». В течение 8-месячного пребывания в Персии Данстерфорс укрепил британские позиции в стране, успешно подавив антибританские силы с помощью оружия, дипломатии и фунта стерлингов. Спецгруппе Данстерфорс не удалось защитить Баку от захвата турками в сентябре 1918</w:t>
      </w:r>
      <w:r>
        <w:rPr>
          <w:rFonts w:ascii="Times New Roman" w:eastAsia="Times New Roman" w:hAnsi="Times New Roman" w:cs="Times New Roman"/>
          <w:sz w:val="28"/>
          <w:szCs w:val="28"/>
          <w:lang w:eastAsia="ru-RU"/>
        </w:rPr>
        <w:t xml:space="preserve"> </w:t>
      </w:r>
      <w:r w:rsidRPr="0041101F">
        <w:rPr>
          <w:rFonts w:ascii="Times New Roman" w:eastAsia="Times New Roman" w:hAnsi="Times New Roman" w:cs="Times New Roman"/>
          <w:sz w:val="28"/>
          <w:szCs w:val="28"/>
          <w:lang w:eastAsia="ru-RU"/>
        </w:rPr>
        <w:t>г. Однако уже в ноябре 1918</w:t>
      </w:r>
      <w:r>
        <w:rPr>
          <w:rFonts w:ascii="Times New Roman" w:eastAsia="Times New Roman" w:hAnsi="Times New Roman" w:cs="Times New Roman"/>
          <w:sz w:val="28"/>
          <w:szCs w:val="28"/>
          <w:lang w:eastAsia="ru-RU"/>
        </w:rPr>
        <w:t xml:space="preserve"> </w:t>
      </w:r>
      <w:r w:rsidRPr="0041101F">
        <w:rPr>
          <w:rFonts w:ascii="Times New Roman" w:eastAsia="Times New Roman" w:hAnsi="Times New Roman" w:cs="Times New Roman"/>
          <w:sz w:val="28"/>
          <w:szCs w:val="28"/>
          <w:lang w:eastAsia="ru-RU"/>
        </w:rPr>
        <w:t xml:space="preserve">г. британские войска изгнали противника из Баку. В итоге к концу войны западный, восточный и южный берега Каспия оказались под полным контролем британских военных. </w:t>
      </w:r>
    </w:p>
    <w:p w14:paraId="5659DB82" w14:textId="77777777" w:rsidR="001056D7" w:rsidRDefault="001056D7" w:rsidP="001056D7">
      <w:pPr>
        <w:spacing w:after="0" w:line="360" w:lineRule="auto"/>
        <w:ind w:firstLine="709"/>
        <w:jc w:val="both"/>
        <w:rPr>
          <w:rFonts w:ascii="Times New Roman" w:eastAsia="Times New Roman" w:hAnsi="Times New Roman" w:cs="Times New Roman"/>
          <w:sz w:val="28"/>
          <w:szCs w:val="28"/>
          <w:lang w:eastAsia="ru-RU"/>
        </w:rPr>
      </w:pPr>
      <w:r w:rsidRPr="0041101F">
        <w:rPr>
          <w:rFonts w:ascii="Times New Roman" w:eastAsia="Times New Roman" w:hAnsi="Times New Roman" w:cs="Times New Roman"/>
          <w:b/>
          <w:bCs/>
          <w:sz w:val="28"/>
          <w:szCs w:val="28"/>
          <w:lang w:eastAsia="ru-RU"/>
        </w:rPr>
        <w:t>Ключевые слова</w:t>
      </w:r>
      <w:r w:rsidRPr="0041101F">
        <w:rPr>
          <w:rFonts w:ascii="Times New Roman" w:eastAsia="Times New Roman" w:hAnsi="Times New Roman" w:cs="Times New Roman"/>
          <w:sz w:val="28"/>
          <w:szCs w:val="28"/>
          <w:lang w:eastAsia="ru-RU"/>
        </w:rPr>
        <w:t xml:space="preserve">: Первая мировая война, Персия, Великобритания, нефть, оборона Баку. </w:t>
      </w:r>
    </w:p>
    <w:p w14:paraId="27CC7CB1" w14:textId="77777777" w:rsidR="001056D7" w:rsidRPr="00AD5941" w:rsidRDefault="001056D7" w:rsidP="001056D7">
      <w:pPr>
        <w:spacing w:after="0" w:line="360" w:lineRule="auto"/>
        <w:ind w:firstLine="709"/>
        <w:jc w:val="right"/>
        <w:rPr>
          <w:rFonts w:ascii="Times New Roman" w:eastAsia="Times New Roman" w:hAnsi="Times New Roman" w:cs="Times New Roman"/>
          <w:b/>
          <w:bCs/>
          <w:sz w:val="28"/>
          <w:szCs w:val="28"/>
          <w:lang w:val="en-US" w:eastAsia="ru-RU"/>
        </w:rPr>
      </w:pPr>
      <w:r w:rsidRPr="00C32308">
        <w:rPr>
          <w:rFonts w:ascii="Times New Roman" w:eastAsia="Times New Roman" w:hAnsi="Times New Roman" w:cs="Times New Roman"/>
          <w:b/>
          <w:bCs/>
          <w:sz w:val="28"/>
          <w:szCs w:val="28"/>
          <w:lang w:val="en-US" w:eastAsia="ru-RU"/>
        </w:rPr>
        <w:t>Tat'yana</w:t>
      </w:r>
      <w:r w:rsidRPr="000D540C">
        <w:rPr>
          <w:rFonts w:ascii="Times New Roman" w:eastAsia="Times New Roman" w:hAnsi="Times New Roman" w:cs="Times New Roman"/>
          <w:b/>
          <w:bCs/>
          <w:sz w:val="28"/>
          <w:szCs w:val="28"/>
          <w:lang w:val="en-US" w:eastAsia="ru-RU"/>
        </w:rPr>
        <w:t xml:space="preserve"> </w:t>
      </w:r>
      <w:r w:rsidRPr="00AD5941">
        <w:rPr>
          <w:rFonts w:ascii="Times New Roman" w:eastAsia="Times New Roman" w:hAnsi="Times New Roman" w:cs="Times New Roman"/>
          <w:b/>
          <w:bCs/>
          <w:sz w:val="28"/>
          <w:szCs w:val="28"/>
          <w:lang w:val="en-US" w:eastAsia="ru-RU"/>
        </w:rPr>
        <w:t>V.</w:t>
      </w:r>
      <w:r w:rsidRPr="000D540C">
        <w:rPr>
          <w:rFonts w:ascii="Times New Roman" w:eastAsia="Times New Roman" w:hAnsi="Times New Roman" w:cs="Times New Roman"/>
          <w:b/>
          <w:bCs/>
          <w:sz w:val="28"/>
          <w:szCs w:val="28"/>
          <w:lang w:val="en-US" w:eastAsia="ru-RU"/>
        </w:rPr>
        <w:t xml:space="preserve"> </w:t>
      </w:r>
      <w:r w:rsidRPr="00AD5941">
        <w:rPr>
          <w:rFonts w:ascii="Times New Roman" w:eastAsia="Times New Roman" w:hAnsi="Times New Roman" w:cs="Times New Roman"/>
          <w:b/>
          <w:bCs/>
          <w:sz w:val="28"/>
          <w:szCs w:val="28"/>
          <w:lang w:val="en-US" w:eastAsia="ru-RU"/>
        </w:rPr>
        <w:t xml:space="preserve">Pantyukhina </w:t>
      </w:r>
    </w:p>
    <w:p w14:paraId="6AD84DCB" w14:textId="77777777" w:rsidR="001056D7" w:rsidRDefault="001056D7" w:rsidP="001056D7">
      <w:pPr>
        <w:spacing w:after="0" w:line="360" w:lineRule="auto"/>
        <w:ind w:firstLine="709"/>
        <w:jc w:val="center"/>
        <w:rPr>
          <w:rFonts w:ascii="Times New Roman" w:eastAsia="Times New Roman" w:hAnsi="Times New Roman" w:cs="Times New Roman"/>
          <w:b/>
          <w:bCs/>
          <w:sz w:val="28"/>
          <w:szCs w:val="28"/>
          <w:lang w:val="en-US" w:eastAsia="ru-RU"/>
        </w:rPr>
      </w:pPr>
      <w:r w:rsidRPr="00AD5941">
        <w:rPr>
          <w:rFonts w:ascii="Times New Roman" w:eastAsia="Times New Roman" w:hAnsi="Times New Roman" w:cs="Times New Roman"/>
          <w:b/>
          <w:bCs/>
          <w:sz w:val="28"/>
          <w:szCs w:val="28"/>
          <w:lang w:val="en-US" w:eastAsia="ru-RU"/>
        </w:rPr>
        <w:t>GREAT BRITAIN IN THE CONFLICT OVER IRAN OIL:</w:t>
      </w:r>
    </w:p>
    <w:p w14:paraId="072D4721" w14:textId="77777777" w:rsidR="001056D7" w:rsidRPr="00AD5941" w:rsidRDefault="001056D7" w:rsidP="001056D7">
      <w:pPr>
        <w:spacing w:after="0" w:line="360" w:lineRule="auto"/>
        <w:ind w:firstLine="709"/>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THE FIRST </w:t>
      </w:r>
      <w:r w:rsidRPr="00AD5941">
        <w:rPr>
          <w:rFonts w:ascii="Times New Roman" w:eastAsia="Times New Roman" w:hAnsi="Times New Roman" w:cs="Times New Roman"/>
          <w:b/>
          <w:bCs/>
          <w:sz w:val="28"/>
          <w:szCs w:val="28"/>
          <w:lang w:val="en-US" w:eastAsia="ru-RU"/>
        </w:rPr>
        <w:t xml:space="preserve">WORLD WAR </w:t>
      </w:r>
      <w:r>
        <w:rPr>
          <w:rFonts w:ascii="Times New Roman" w:eastAsia="Times New Roman" w:hAnsi="Times New Roman" w:cs="Times New Roman"/>
          <w:b/>
          <w:bCs/>
          <w:sz w:val="28"/>
          <w:szCs w:val="28"/>
          <w:lang w:val="en-US" w:eastAsia="ru-RU"/>
        </w:rPr>
        <w:t>PERIOD</w:t>
      </w:r>
    </w:p>
    <w:p w14:paraId="6F0E837E" w14:textId="77777777" w:rsidR="001056D7" w:rsidRPr="000D540C" w:rsidRDefault="001056D7" w:rsidP="001056D7">
      <w:pPr>
        <w:spacing w:after="0" w:line="360" w:lineRule="auto"/>
        <w:ind w:firstLine="709"/>
        <w:jc w:val="both"/>
        <w:rPr>
          <w:rFonts w:ascii="Times New Roman" w:eastAsia="Times New Roman" w:hAnsi="Times New Roman" w:cs="Times New Roman"/>
          <w:sz w:val="28"/>
          <w:szCs w:val="28"/>
          <w:lang w:val="en-US" w:eastAsia="ru-RU"/>
        </w:rPr>
      </w:pPr>
      <w:r w:rsidRPr="000D540C">
        <w:rPr>
          <w:rFonts w:ascii="Times New Roman" w:eastAsia="Times New Roman" w:hAnsi="Times New Roman" w:cs="Times New Roman"/>
          <w:sz w:val="28"/>
          <w:szCs w:val="28"/>
          <w:lang w:val="en-US" w:eastAsia="ru-RU"/>
        </w:rPr>
        <w:t xml:space="preserve">The article highlights the activities of Great Britain in the competition for control over oil fields and the oil industry in Iran (Persia) and the South Caucasus in 1914-1918, which was not the subject of special research in Russian historiography. On the eve of the war, Great Britain actually controlled the production and refining of oil in Persia through the Anglo-Persian Oil Company. With the outbreak of the war, British interests in the region were put under threat by Germany and the Ottoman Empire, which sought to challenge the British monopoly on Persian oil. Despite the fact that the territory of Persia remained far from the major battles of World War I, the country was a strategically important war theater for Great Britain. The British troops stationed in Persia controlled the territory of southern Persia, </w:t>
      </w:r>
      <w:r w:rsidRPr="000D540C">
        <w:rPr>
          <w:rFonts w:ascii="Times New Roman" w:eastAsia="Times New Roman" w:hAnsi="Times New Roman" w:cs="Times New Roman"/>
          <w:sz w:val="28"/>
          <w:szCs w:val="28"/>
          <w:lang w:val="en-US" w:eastAsia="ru-RU"/>
        </w:rPr>
        <w:lastRenderedPageBreak/>
        <w:t xml:space="preserve">while the north of the country was controlled by Russian troops. After Russia's withdrawal from the war at the end of 1917, there was a threat of strengthening the positions of Turkish troops and their allies in Persia and their advance to the Caucasus, to the oil fields of Baku. To counter this threat, a special taskforce was formed, called "Dunsterforce". During its 8-month stay in Persia, Dunsterforce strengthened the British position in the country, successfully suppressing anti-British forces with weapons, diplomacy and the pound sterling. Dunsterforce failed to protect Baku from capture by the Turks in September 1918. However, in November 1918, British troops managed to take over Baku. As a result, by the end of the war the western, eastern and southern shores of the Caspian Sea were under the full control of the British military. </w:t>
      </w:r>
    </w:p>
    <w:p w14:paraId="1AD7760E" w14:textId="77777777" w:rsidR="001056D7" w:rsidRPr="000D540C" w:rsidRDefault="001056D7" w:rsidP="001056D7">
      <w:pPr>
        <w:spacing w:after="0" w:line="360" w:lineRule="auto"/>
        <w:ind w:firstLine="709"/>
        <w:jc w:val="both"/>
        <w:rPr>
          <w:rFonts w:ascii="Times New Roman" w:eastAsia="Times New Roman" w:hAnsi="Times New Roman" w:cs="Times New Roman"/>
          <w:sz w:val="28"/>
          <w:szCs w:val="28"/>
          <w:lang w:val="en-US" w:eastAsia="ru-RU"/>
        </w:rPr>
      </w:pPr>
      <w:r w:rsidRPr="00D56664">
        <w:rPr>
          <w:rFonts w:ascii="Times New Roman" w:eastAsia="Times New Roman" w:hAnsi="Times New Roman" w:cs="Times New Roman"/>
          <w:b/>
          <w:bCs/>
          <w:sz w:val="28"/>
          <w:szCs w:val="28"/>
          <w:lang w:val="en-US" w:eastAsia="ru-RU"/>
        </w:rPr>
        <w:t>Key words:</w:t>
      </w:r>
      <w:r>
        <w:rPr>
          <w:rFonts w:ascii="Times New Roman" w:eastAsia="Times New Roman" w:hAnsi="Times New Roman" w:cs="Times New Roman"/>
          <w:b/>
          <w:bCs/>
          <w:sz w:val="24"/>
          <w:szCs w:val="24"/>
          <w:lang w:val="en-US" w:eastAsia="ru-RU"/>
        </w:rPr>
        <w:t xml:space="preserve"> </w:t>
      </w:r>
      <w:r w:rsidRPr="000D540C">
        <w:rPr>
          <w:rFonts w:ascii="Times New Roman" w:eastAsia="Times New Roman" w:hAnsi="Times New Roman" w:cs="Times New Roman"/>
          <w:sz w:val="28"/>
          <w:szCs w:val="28"/>
          <w:lang w:val="en-US" w:eastAsia="ru-RU"/>
        </w:rPr>
        <w:t>World War I, Persia, Great Britain, oil, defense of Baku.</w:t>
      </w:r>
    </w:p>
    <w:p w14:paraId="2388AB51" w14:textId="25349E64" w:rsidR="001056D7" w:rsidRDefault="001056D7">
      <w:pPr>
        <w:rPr>
          <w:lang w:val="en-US"/>
        </w:rPr>
      </w:pPr>
    </w:p>
    <w:p w14:paraId="0649168A" w14:textId="77777777" w:rsidR="00091EA9" w:rsidRPr="00B163B3" w:rsidRDefault="00091EA9" w:rsidP="0009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sidRPr="00B163B3">
        <w:rPr>
          <w:rFonts w:ascii="Times New Roman" w:eastAsia="Times New Roman" w:hAnsi="Times New Roman" w:cs="Times New Roman"/>
          <w:b/>
          <w:sz w:val="28"/>
          <w:szCs w:val="28"/>
          <w:lang w:eastAsia="ru-RU"/>
        </w:rPr>
        <w:t>УДК 94(470)"16/18"+355.48"1654/1667":930.2+81`27</w:t>
      </w:r>
    </w:p>
    <w:p w14:paraId="3CF25FE9" w14:textId="77777777" w:rsidR="00091EA9" w:rsidRDefault="00091EA9" w:rsidP="00091EA9">
      <w:pPr>
        <w:suppressAutoHyphens/>
        <w:spacing w:after="0" w:line="360" w:lineRule="auto"/>
        <w:jc w:val="right"/>
        <w:rPr>
          <w:rFonts w:ascii="Times New Roman" w:eastAsia="Times New Roman" w:hAnsi="Times New Roman" w:cs="Times New Roman"/>
          <w:b/>
          <w:bCs/>
          <w:sz w:val="28"/>
          <w:szCs w:val="28"/>
          <w:lang w:eastAsia="ru-RU"/>
        </w:rPr>
      </w:pPr>
      <w:r w:rsidRPr="00092EC3">
        <w:rPr>
          <w:rFonts w:ascii="Times New Roman" w:eastAsia="Calibri" w:hAnsi="Times New Roman" w:cs="Times New Roman"/>
          <w:b/>
          <w:bCs/>
          <w:sz w:val="28"/>
          <w:szCs w:val="28"/>
        </w:rPr>
        <w:t>http://doi.org/</w:t>
      </w:r>
      <w:r w:rsidRPr="000735E7">
        <w:rPr>
          <w:rFonts w:ascii="Times New Roman" w:eastAsia="Calibri" w:hAnsi="Times New Roman" w:cs="Times New Roman"/>
          <w:b/>
          <w:bCs/>
          <w:sz w:val="28"/>
          <w:szCs w:val="28"/>
        </w:rPr>
        <w:t>10.37493/2409-1030.2022.4.8</w:t>
      </w:r>
    </w:p>
    <w:p w14:paraId="395634D4" w14:textId="77777777" w:rsidR="00091EA9" w:rsidRPr="00443523" w:rsidRDefault="00091EA9" w:rsidP="00091EA9">
      <w:pPr>
        <w:suppressAutoHyphens/>
        <w:spacing w:after="0" w:line="360" w:lineRule="auto"/>
        <w:jc w:val="right"/>
        <w:rPr>
          <w:rFonts w:ascii="Times New Roman" w:eastAsia="Times New Roman" w:hAnsi="Times New Roman" w:cs="Times New Roman"/>
          <w:b/>
          <w:bCs/>
          <w:sz w:val="28"/>
          <w:szCs w:val="28"/>
          <w:lang w:eastAsia="ru-RU"/>
        </w:rPr>
      </w:pPr>
      <w:r w:rsidRPr="00443523">
        <w:rPr>
          <w:rFonts w:ascii="Times New Roman" w:eastAsia="Times New Roman" w:hAnsi="Times New Roman" w:cs="Times New Roman"/>
          <w:b/>
          <w:bCs/>
          <w:sz w:val="28"/>
          <w:szCs w:val="28"/>
          <w:lang w:eastAsia="ru-RU"/>
        </w:rPr>
        <w:t>А. И. Прокофьев</w:t>
      </w:r>
    </w:p>
    <w:p w14:paraId="3B3571EC" w14:textId="77777777" w:rsidR="00091EA9" w:rsidRPr="00443523" w:rsidRDefault="00091EA9" w:rsidP="00091EA9">
      <w:pPr>
        <w:spacing w:after="0" w:line="360" w:lineRule="auto"/>
        <w:jc w:val="center"/>
        <w:rPr>
          <w:rFonts w:ascii="Times New Roman" w:eastAsia="Times New Roman" w:hAnsi="Times New Roman" w:cs="Times New Roman"/>
          <w:b/>
          <w:bCs/>
          <w:sz w:val="24"/>
          <w:szCs w:val="24"/>
          <w:lang w:eastAsia="ru-RU"/>
        </w:rPr>
      </w:pPr>
      <w:r w:rsidRPr="00443523">
        <w:rPr>
          <w:rFonts w:ascii="Times New Roman" w:eastAsia="Times New Roman" w:hAnsi="Times New Roman" w:cs="Times New Roman"/>
          <w:b/>
          <w:bCs/>
          <w:sz w:val="24"/>
          <w:szCs w:val="24"/>
          <w:lang w:eastAsia="ru-RU"/>
        </w:rPr>
        <w:t xml:space="preserve">ТРИНАДЦАТИЛЕТНЯЯ ВОЙНА 1654–1667 ГГ. И «ОСВОБОЖДЕНИЕ»: ОСОБЕННОСТИ ГЕНЕЗИСА И ПРИМЕНЕНИЯ НАРРАТИВА В РУССКОЙ ИСТОРИОГРАФИИ (ВТОРАЯ ПОЛОВИНА </w:t>
      </w:r>
      <w:r w:rsidRPr="00443523">
        <w:rPr>
          <w:rFonts w:ascii="Times New Roman" w:eastAsia="Times New Roman" w:hAnsi="Times New Roman" w:cs="Times New Roman"/>
          <w:b/>
          <w:bCs/>
          <w:sz w:val="24"/>
          <w:szCs w:val="24"/>
          <w:lang w:val="en-US" w:eastAsia="ru-RU"/>
        </w:rPr>
        <w:t>XVII</w:t>
      </w:r>
      <w:r w:rsidRPr="00443523">
        <w:rPr>
          <w:rFonts w:ascii="Times New Roman" w:eastAsia="Times New Roman" w:hAnsi="Times New Roman" w:cs="Times New Roman"/>
          <w:b/>
          <w:bCs/>
          <w:sz w:val="24"/>
          <w:szCs w:val="24"/>
          <w:lang w:eastAsia="ru-RU"/>
        </w:rPr>
        <w:t xml:space="preserve"> – ПЕРВАЯ ПОЛОВИНА </w:t>
      </w:r>
      <w:r w:rsidRPr="00443523">
        <w:rPr>
          <w:rFonts w:ascii="Times New Roman" w:eastAsia="Times New Roman" w:hAnsi="Times New Roman" w:cs="Times New Roman"/>
          <w:b/>
          <w:bCs/>
          <w:sz w:val="24"/>
          <w:szCs w:val="24"/>
          <w:lang w:val="en-US" w:eastAsia="ru-RU"/>
        </w:rPr>
        <w:t>XIX</w:t>
      </w:r>
      <w:r w:rsidRPr="00443523">
        <w:rPr>
          <w:rFonts w:ascii="Times New Roman" w:eastAsia="Times New Roman" w:hAnsi="Times New Roman" w:cs="Times New Roman"/>
          <w:b/>
          <w:bCs/>
          <w:sz w:val="24"/>
          <w:szCs w:val="24"/>
          <w:lang w:eastAsia="ru-RU"/>
        </w:rPr>
        <w:t xml:space="preserve"> В.)</w:t>
      </w:r>
    </w:p>
    <w:p w14:paraId="0C603A76" w14:textId="77777777" w:rsidR="00091EA9" w:rsidRDefault="00091EA9" w:rsidP="00091EA9">
      <w:pPr>
        <w:suppressAutoHyphens/>
        <w:spacing w:after="0" w:line="360" w:lineRule="auto"/>
        <w:ind w:firstLine="709"/>
        <w:jc w:val="both"/>
        <w:rPr>
          <w:rFonts w:ascii="Times New Roman" w:eastAsia="Times New Roman" w:hAnsi="Times New Roman" w:cs="Times New Roman"/>
          <w:sz w:val="28"/>
          <w:szCs w:val="28"/>
          <w:lang w:eastAsia="ru-RU"/>
        </w:rPr>
      </w:pPr>
      <w:r w:rsidRPr="00443523">
        <w:rPr>
          <w:rFonts w:ascii="Times New Roman" w:eastAsia="Times New Roman" w:hAnsi="Times New Roman" w:cs="Times New Roman"/>
          <w:sz w:val="28"/>
          <w:szCs w:val="28"/>
          <w:lang w:eastAsia="ru-RU"/>
        </w:rPr>
        <w:t xml:space="preserve">Русская историография второй половины </w:t>
      </w:r>
      <w:r w:rsidRPr="00443523">
        <w:rPr>
          <w:rFonts w:ascii="Times New Roman" w:eastAsia="Times New Roman" w:hAnsi="Times New Roman" w:cs="Times New Roman"/>
          <w:sz w:val="28"/>
          <w:szCs w:val="28"/>
          <w:lang w:val="en-US" w:eastAsia="ru-RU"/>
        </w:rPr>
        <w:t>XVII</w:t>
      </w:r>
      <w:r w:rsidRPr="00443523">
        <w:rPr>
          <w:rFonts w:ascii="Times New Roman" w:eastAsia="Times New Roman" w:hAnsi="Times New Roman" w:cs="Times New Roman"/>
          <w:sz w:val="28"/>
          <w:szCs w:val="28"/>
          <w:lang w:eastAsia="ru-RU"/>
        </w:rPr>
        <w:t xml:space="preserve"> – первой половины </w:t>
      </w:r>
      <w:r w:rsidRPr="00443523">
        <w:rPr>
          <w:rFonts w:ascii="Times New Roman" w:eastAsia="Times New Roman" w:hAnsi="Times New Roman" w:cs="Times New Roman"/>
          <w:sz w:val="28"/>
          <w:szCs w:val="28"/>
          <w:lang w:val="en-US" w:eastAsia="ru-RU"/>
        </w:rPr>
        <w:t>XIX</w:t>
      </w:r>
      <w:r w:rsidRPr="00443523">
        <w:rPr>
          <w:rFonts w:ascii="Times New Roman" w:eastAsia="Times New Roman" w:hAnsi="Times New Roman" w:cs="Times New Roman"/>
          <w:sz w:val="28"/>
          <w:szCs w:val="28"/>
          <w:lang w:eastAsia="ru-RU"/>
        </w:rPr>
        <w:t xml:space="preserve"> вв. сконструировала модель, из которой объяснялись бы замыслы, цели и ход военных действий в 1654</w:t>
      </w:r>
      <w:r w:rsidRPr="00984395">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w:t>
      </w:r>
      <w:r w:rsidRPr="00984395">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 xml:space="preserve">1667 гг. Семантическая единица «освобождение» и ее синонимы позволяли говорить об «освободительной» составляющей войны Московского государства с Речью Посполитой. Во второй половине </w:t>
      </w:r>
      <w:r w:rsidRPr="00443523">
        <w:rPr>
          <w:rFonts w:ascii="Times New Roman" w:eastAsia="Times New Roman" w:hAnsi="Times New Roman" w:cs="Times New Roman"/>
          <w:sz w:val="28"/>
          <w:szCs w:val="28"/>
          <w:lang w:val="en-US" w:eastAsia="ru-RU"/>
        </w:rPr>
        <w:t>XVII</w:t>
      </w:r>
      <w:r w:rsidRPr="00443523">
        <w:rPr>
          <w:rFonts w:ascii="Times New Roman" w:eastAsia="Times New Roman" w:hAnsi="Times New Roman" w:cs="Times New Roman"/>
          <w:sz w:val="28"/>
          <w:szCs w:val="28"/>
          <w:lang w:eastAsia="ru-RU"/>
        </w:rPr>
        <w:t xml:space="preserve"> в. появился общий нарратив войны с религиозным наполнением (И. Гизель). Во время Великой Северной войны 1700</w:t>
      </w:r>
      <w:r>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 xml:space="preserve">1721 гг. от него отделилась секуляризованная версия (А. Манкеев). Периодизация нарратива построена на двух моментах: разделении на два дискурса во второй половине </w:t>
      </w:r>
      <w:r w:rsidRPr="00443523">
        <w:rPr>
          <w:rFonts w:ascii="Times New Roman" w:eastAsia="Times New Roman" w:hAnsi="Times New Roman" w:cs="Times New Roman"/>
          <w:sz w:val="28"/>
          <w:szCs w:val="28"/>
          <w:lang w:val="en-US" w:eastAsia="ru-RU"/>
        </w:rPr>
        <w:t>XVII</w:t>
      </w:r>
      <w:r w:rsidRPr="00443523">
        <w:rPr>
          <w:rFonts w:ascii="Times New Roman" w:eastAsia="Times New Roman" w:hAnsi="Times New Roman" w:cs="Times New Roman"/>
          <w:sz w:val="28"/>
          <w:szCs w:val="28"/>
          <w:lang w:eastAsia="ru-RU"/>
        </w:rPr>
        <w:t xml:space="preserve"> – первой половине </w:t>
      </w:r>
      <w:r w:rsidRPr="00443523">
        <w:rPr>
          <w:rFonts w:ascii="Times New Roman" w:eastAsia="Times New Roman" w:hAnsi="Times New Roman" w:cs="Times New Roman"/>
          <w:sz w:val="28"/>
          <w:szCs w:val="28"/>
          <w:lang w:val="en-US" w:eastAsia="ru-RU"/>
        </w:rPr>
        <w:t>XVIII</w:t>
      </w:r>
      <w:r w:rsidRPr="00443523">
        <w:rPr>
          <w:rFonts w:ascii="Times New Roman" w:eastAsia="Times New Roman" w:hAnsi="Times New Roman" w:cs="Times New Roman"/>
          <w:sz w:val="28"/>
          <w:szCs w:val="28"/>
          <w:lang w:eastAsia="ru-RU"/>
        </w:rPr>
        <w:t xml:space="preserve"> вв.: на религиозный и политический; с довольно прозрачной границей. И размеченном рубеже, по которому углубились и расширились </w:t>
      </w:r>
      <w:r w:rsidRPr="00443523">
        <w:rPr>
          <w:rFonts w:ascii="Times New Roman" w:eastAsia="Times New Roman" w:hAnsi="Times New Roman" w:cs="Times New Roman"/>
          <w:sz w:val="28"/>
          <w:szCs w:val="28"/>
          <w:lang w:eastAsia="ru-RU"/>
        </w:rPr>
        <w:lastRenderedPageBreak/>
        <w:t>дискурсы в семиосфере имперских историков, проходящем по ноябрьскому Польскому восстанию (политическое влияние), 1830–40-е гг. (идеологический ракурс). Под политическим влиянием понимается первая фаза деполонизации земель Литовского и Белорусского генерал-губернаторств после польского Ноябрьского восстания (1830</w:t>
      </w:r>
      <w:r w:rsidRPr="00984395">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w:t>
      </w:r>
      <w:r w:rsidRPr="00984395">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1831 гг.). Идеологическим ракурсом видятся: проработка «триады» С. С. Уварова со стороны историка Н. Г. Устрялова; Полоцкий собор 1839 г. – акт ликвидации униатской церкви на землях Белоруссии и Литвы. Оба фактора, резко усилившие церковное влияние в историографической эволюции Тринадцатилетней войны, фактически возвращали семиозис к допетровской эпохе. Применение двух моделей не вело к конфликту языков описания, скорее сосуществованию. Цель исследования заключается в нахождении</w:t>
      </w:r>
      <w:r>
        <w:rPr>
          <w:rFonts w:ascii="Times New Roman" w:eastAsia="Times New Roman" w:hAnsi="Times New Roman" w:cs="Times New Roman"/>
          <w:sz w:val="28"/>
          <w:szCs w:val="28"/>
          <w:lang w:eastAsia="ru-RU"/>
        </w:rPr>
        <w:t xml:space="preserve"> </w:t>
      </w:r>
      <w:r w:rsidRPr="00443523">
        <w:rPr>
          <w:rFonts w:ascii="Times New Roman" w:eastAsia="Times New Roman" w:hAnsi="Times New Roman" w:cs="Times New Roman"/>
          <w:sz w:val="28"/>
          <w:szCs w:val="28"/>
          <w:lang w:eastAsia="ru-RU"/>
        </w:rPr>
        <w:t>и интерпретации семантических единиц в историографии. Изучение нарративных свойств «освобождения» производится через оптику исторической семантики, семиотики и герменевтики.</w:t>
      </w:r>
    </w:p>
    <w:p w14:paraId="62AF7E88" w14:textId="77777777" w:rsidR="00091EA9" w:rsidRDefault="00091EA9" w:rsidP="00091EA9">
      <w:pPr>
        <w:spacing w:after="0" w:line="360" w:lineRule="auto"/>
        <w:ind w:firstLine="709"/>
        <w:contextualSpacing/>
        <w:jc w:val="both"/>
        <w:rPr>
          <w:rFonts w:ascii="Times New Roman" w:eastAsia="Times New Roman" w:hAnsi="Times New Roman" w:cs="Times New Roman"/>
          <w:sz w:val="28"/>
          <w:szCs w:val="28"/>
          <w:lang w:eastAsia="ru-RU"/>
        </w:rPr>
      </w:pPr>
      <w:r w:rsidRPr="00443523">
        <w:rPr>
          <w:rFonts w:ascii="Times New Roman" w:eastAsia="Times New Roman" w:hAnsi="Times New Roman" w:cs="Times New Roman"/>
          <w:b/>
          <w:bCs/>
          <w:sz w:val="28"/>
          <w:szCs w:val="28"/>
          <w:lang w:eastAsia="ru-RU"/>
        </w:rPr>
        <w:t>Ключевые слова:</w:t>
      </w:r>
      <w:r w:rsidRPr="00443523">
        <w:rPr>
          <w:rFonts w:ascii="Times New Roman" w:eastAsia="Times New Roman" w:hAnsi="Times New Roman" w:cs="Times New Roman"/>
          <w:sz w:val="28"/>
          <w:szCs w:val="28"/>
          <w:lang w:eastAsia="ru-RU"/>
        </w:rPr>
        <w:t xml:space="preserve"> Тринадцатилетняя война, Московское государство, «освобождение», нарратив, язык описания.</w:t>
      </w:r>
    </w:p>
    <w:p w14:paraId="758C1F18" w14:textId="77777777" w:rsidR="00091EA9" w:rsidRPr="00443523" w:rsidRDefault="00091EA9" w:rsidP="00091EA9">
      <w:pPr>
        <w:spacing w:after="0" w:line="360" w:lineRule="auto"/>
        <w:jc w:val="right"/>
        <w:rPr>
          <w:rFonts w:ascii="Times New Roman" w:eastAsia="Times New Roman" w:hAnsi="Times New Roman" w:cs="Times New Roman"/>
          <w:b/>
          <w:bCs/>
          <w:sz w:val="28"/>
          <w:szCs w:val="28"/>
          <w:lang w:val="en-GB" w:eastAsia="ru-RU"/>
        </w:rPr>
      </w:pPr>
      <w:r w:rsidRPr="00443523">
        <w:rPr>
          <w:rFonts w:ascii="Times New Roman" w:eastAsia="Times New Roman" w:hAnsi="Times New Roman" w:cs="Times New Roman"/>
          <w:b/>
          <w:bCs/>
          <w:sz w:val="28"/>
          <w:szCs w:val="28"/>
          <w:lang w:val="en-GB" w:eastAsia="ru-RU"/>
        </w:rPr>
        <w:t>A</w:t>
      </w:r>
      <w:r w:rsidRPr="00984395">
        <w:rPr>
          <w:rFonts w:ascii="Times New Roman" w:eastAsia="Times New Roman" w:hAnsi="Times New Roman" w:cs="Times New Roman"/>
          <w:b/>
          <w:bCs/>
          <w:sz w:val="28"/>
          <w:szCs w:val="28"/>
          <w:lang w:val="en-US" w:eastAsia="ru-RU"/>
        </w:rPr>
        <w:t>lexandr</w:t>
      </w:r>
      <w:r w:rsidRPr="00443523">
        <w:rPr>
          <w:rFonts w:ascii="Times New Roman" w:eastAsia="Times New Roman" w:hAnsi="Times New Roman" w:cs="Times New Roman"/>
          <w:b/>
          <w:bCs/>
          <w:sz w:val="28"/>
          <w:szCs w:val="28"/>
          <w:lang w:val="en-GB" w:eastAsia="ru-RU"/>
        </w:rPr>
        <w:t xml:space="preserve"> I. Prokofiev</w:t>
      </w:r>
    </w:p>
    <w:p w14:paraId="1B91DCE6" w14:textId="77777777" w:rsidR="00091EA9" w:rsidRPr="00443523" w:rsidRDefault="00091EA9" w:rsidP="00091EA9">
      <w:pPr>
        <w:suppressAutoHyphens/>
        <w:spacing w:after="0" w:line="360" w:lineRule="auto"/>
        <w:jc w:val="center"/>
        <w:rPr>
          <w:rFonts w:ascii="Times New Roman" w:eastAsia="Times New Roman" w:hAnsi="Times New Roman" w:cs="Times New Roman"/>
          <w:b/>
          <w:bCs/>
          <w:sz w:val="24"/>
          <w:szCs w:val="24"/>
          <w:lang w:val="en-GB" w:eastAsia="ru-RU"/>
        </w:rPr>
      </w:pPr>
      <w:r w:rsidRPr="00443523">
        <w:rPr>
          <w:rFonts w:ascii="Times New Roman" w:eastAsia="Times New Roman" w:hAnsi="Times New Roman" w:cs="Times New Roman"/>
          <w:b/>
          <w:bCs/>
          <w:sz w:val="24"/>
          <w:szCs w:val="24"/>
          <w:lang w:val="en-GB" w:eastAsia="ru-RU"/>
        </w:rPr>
        <w:t>THIRTEEN YEARS' WAR 1654–1667 AND "LIBERATION": PECULIARITIES OF GENESIS AND APPL</w:t>
      </w:r>
      <w:r>
        <w:rPr>
          <w:rFonts w:ascii="Times New Roman" w:eastAsia="Times New Roman" w:hAnsi="Times New Roman" w:cs="Times New Roman"/>
          <w:b/>
          <w:bCs/>
          <w:sz w:val="24"/>
          <w:szCs w:val="24"/>
          <w:lang w:val="en-GB" w:eastAsia="ru-RU"/>
        </w:rPr>
        <w:t>ICATION</w:t>
      </w:r>
      <w:r w:rsidRPr="00443523">
        <w:rPr>
          <w:rFonts w:ascii="Times New Roman" w:eastAsia="Times New Roman" w:hAnsi="Times New Roman" w:cs="Times New Roman"/>
          <w:b/>
          <w:bCs/>
          <w:sz w:val="24"/>
          <w:szCs w:val="24"/>
          <w:lang w:val="en-GB" w:eastAsia="ru-RU"/>
        </w:rPr>
        <w:t xml:space="preserve"> OF NARRATIVE IN RUSSIAN HISTORIOGRAPHY (SECOND HALF OF THE 17</w:t>
      </w:r>
      <w:r w:rsidRPr="00443523">
        <w:rPr>
          <w:rFonts w:ascii="Times New Roman" w:eastAsia="Times New Roman" w:hAnsi="Times New Roman" w:cs="Times New Roman"/>
          <w:b/>
          <w:bCs/>
          <w:sz w:val="24"/>
          <w:szCs w:val="24"/>
          <w:vertAlign w:val="superscript"/>
          <w:lang w:val="en-GB" w:eastAsia="ru-RU"/>
        </w:rPr>
        <w:t>TH</w:t>
      </w:r>
      <w:r w:rsidRPr="00443523">
        <w:rPr>
          <w:rFonts w:ascii="Times New Roman" w:eastAsia="Times New Roman" w:hAnsi="Times New Roman" w:cs="Times New Roman"/>
          <w:b/>
          <w:bCs/>
          <w:sz w:val="24"/>
          <w:szCs w:val="24"/>
          <w:lang w:val="en-GB" w:eastAsia="ru-RU"/>
        </w:rPr>
        <w:t xml:space="preserve"> – FIRST HALF OF THE 19</w:t>
      </w:r>
      <w:r w:rsidRPr="00443523">
        <w:rPr>
          <w:rFonts w:ascii="Times New Roman" w:eastAsia="Times New Roman" w:hAnsi="Times New Roman" w:cs="Times New Roman"/>
          <w:b/>
          <w:bCs/>
          <w:sz w:val="24"/>
          <w:szCs w:val="24"/>
          <w:vertAlign w:val="superscript"/>
          <w:lang w:val="en-GB" w:eastAsia="ru-RU"/>
        </w:rPr>
        <w:t>TH</w:t>
      </w:r>
      <w:r w:rsidRPr="00443523">
        <w:rPr>
          <w:rFonts w:ascii="Times New Roman" w:eastAsia="Times New Roman" w:hAnsi="Times New Roman" w:cs="Times New Roman"/>
          <w:b/>
          <w:bCs/>
          <w:sz w:val="24"/>
          <w:szCs w:val="24"/>
          <w:lang w:val="en-GB" w:eastAsia="ru-RU"/>
        </w:rPr>
        <w:t xml:space="preserve"> CENTURIES)</w:t>
      </w:r>
    </w:p>
    <w:p w14:paraId="45D42844" w14:textId="77777777" w:rsidR="00091EA9" w:rsidRDefault="00091EA9" w:rsidP="00091EA9">
      <w:pPr>
        <w:suppressAutoHyphens/>
        <w:spacing w:after="0" w:line="360" w:lineRule="auto"/>
        <w:ind w:firstLine="709"/>
        <w:jc w:val="both"/>
        <w:rPr>
          <w:rFonts w:ascii="Times New Roman" w:eastAsia="Times New Roman" w:hAnsi="Times New Roman" w:cs="Times New Roman"/>
          <w:sz w:val="28"/>
          <w:szCs w:val="28"/>
          <w:lang w:val="en-US" w:eastAsia="ru-RU"/>
        </w:rPr>
      </w:pPr>
      <w:r w:rsidRPr="00443523">
        <w:rPr>
          <w:rFonts w:ascii="Times New Roman" w:eastAsia="Times New Roman" w:hAnsi="Times New Roman" w:cs="Times New Roman"/>
          <w:sz w:val="28"/>
          <w:szCs w:val="28"/>
          <w:lang w:val="en-US" w:eastAsia="ru-RU"/>
        </w:rPr>
        <w:t>Russian historiography of the second half of the 17th – the first half of the 19th centuries constructed a model that would explain the plans, goals and course of hostilities in 1654</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1667. The semantic unit "liberation" and its synonyms made it possible to talk about the "liberatory" component of the war between the Moscow State and the Polish-Lithuanian Commonwealth. In the second half of the XVII century a common war narrative with religious content appeared (I. Giesel). During the Great Northern War of 1700</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 xml:space="preserve">1721 a secularized version separated from it (A. Mankeev). </w:t>
      </w:r>
      <w:r w:rsidRPr="00D56664">
        <w:rPr>
          <w:rFonts w:ascii="Times New Roman" w:eastAsia="Times New Roman" w:hAnsi="Times New Roman" w:cs="Times New Roman"/>
          <w:sz w:val="28"/>
          <w:szCs w:val="28"/>
          <w:lang w:val="en-US" w:eastAsia="ru-RU"/>
        </w:rPr>
        <w:t xml:space="preserve">The periodization of the narrative is built on two points: the division into two discourses in the second half of the 17th – the first half of the 18th centuries: </w:t>
      </w:r>
      <w:r w:rsidRPr="00D56664">
        <w:rPr>
          <w:rFonts w:ascii="Times New Roman" w:eastAsia="Times New Roman" w:hAnsi="Times New Roman" w:cs="Times New Roman"/>
          <w:sz w:val="28"/>
          <w:szCs w:val="28"/>
          <w:lang w:val="en-US" w:eastAsia="ru-RU"/>
        </w:rPr>
        <w:lastRenderedPageBreak/>
        <w:t xml:space="preserve">religious and political; with a fairly see-through border. And the marked line, along which discourses deepened and expanded in the semiosphere of imperial historians, passing through the November Polish uprising (political influence), the 1830–40s. (ideological perspective). </w:t>
      </w:r>
      <w:r w:rsidRPr="00443523">
        <w:rPr>
          <w:rFonts w:ascii="Times New Roman" w:eastAsia="Times New Roman" w:hAnsi="Times New Roman" w:cs="Times New Roman"/>
          <w:sz w:val="28"/>
          <w:szCs w:val="28"/>
          <w:lang w:val="en-US" w:eastAsia="ru-RU"/>
        </w:rPr>
        <w:t>Political influence is understood as the first phase of the depolonization of the lands of the Lithuanian and Belarusian Governorate-General after the Polish November Uprising (1830</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443523">
        <w:rPr>
          <w:rFonts w:ascii="Times New Roman" w:eastAsia="Times New Roman" w:hAnsi="Times New Roman" w:cs="Times New Roman"/>
          <w:sz w:val="28"/>
          <w:szCs w:val="28"/>
          <w:lang w:val="en-US" w:eastAsia="ru-RU"/>
        </w:rPr>
        <w:t xml:space="preserve">1831). From an ideological perspective, they see: the elaboration of the “triad” of S. S. Uvarov by the historian N. G. Ustryalov; Synod of Polotsk in 1839 — an act of liquidation of the Uniate Church in the lands of Byelorussia and Lithuania. </w:t>
      </w:r>
      <w:r w:rsidRPr="00D56664">
        <w:rPr>
          <w:rFonts w:ascii="Times New Roman" w:eastAsia="Times New Roman" w:hAnsi="Times New Roman" w:cs="Times New Roman"/>
          <w:sz w:val="28"/>
          <w:szCs w:val="28"/>
          <w:lang w:val="en-US" w:eastAsia="ru-RU"/>
        </w:rPr>
        <w:t>Both factors, which sharply increased the church influence in the historiographic evolution of the Thirteen Years' War, actually returned semiosis to the pre-Pet</w:t>
      </w:r>
      <w:r>
        <w:rPr>
          <w:rFonts w:ascii="Times New Roman" w:eastAsia="Times New Roman" w:hAnsi="Times New Roman" w:cs="Times New Roman"/>
          <w:sz w:val="28"/>
          <w:szCs w:val="28"/>
          <w:lang w:val="en-US" w:eastAsia="ru-RU"/>
        </w:rPr>
        <w:t>er</w:t>
      </w:r>
      <w:r w:rsidRPr="00D56664">
        <w:rPr>
          <w:rFonts w:ascii="Times New Roman" w:eastAsia="Times New Roman" w:hAnsi="Times New Roman" w:cs="Times New Roman"/>
          <w:sz w:val="28"/>
          <w:szCs w:val="28"/>
          <w:lang w:val="en-US" w:eastAsia="ru-RU"/>
        </w:rPr>
        <w:t xml:space="preserve"> era. The use of the two models did not lead to a conflict of description languages, but rather to coexistence. </w:t>
      </w:r>
      <w:r w:rsidRPr="00443523">
        <w:rPr>
          <w:rFonts w:ascii="Times New Roman" w:eastAsia="Times New Roman" w:hAnsi="Times New Roman" w:cs="Times New Roman"/>
          <w:sz w:val="28"/>
          <w:szCs w:val="28"/>
          <w:lang w:val="en-US" w:eastAsia="ru-RU"/>
        </w:rPr>
        <w:t>The aim of the study is to find and interpret semantic units in historiography. The study of the narrative properties of "liberation" is carried out through the optics of historical semantics, semiotics and hermeneutics.</w:t>
      </w:r>
    </w:p>
    <w:p w14:paraId="771981D5" w14:textId="77777777" w:rsidR="00091EA9" w:rsidRPr="00443523" w:rsidRDefault="00091EA9" w:rsidP="00091EA9">
      <w:pPr>
        <w:suppressAutoHyphens/>
        <w:spacing w:after="0" w:line="360" w:lineRule="auto"/>
        <w:ind w:firstLine="709"/>
        <w:jc w:val="both"/>
        <w:rPr>
          <w:rFonts w:ascii="Times New Roman" w:eastAsia="Times New Roman" w:hAnsi="Times New Roman" w:cs="Times New Roman"/>
          <w:sz w:val="28"/>
          <w:szCs w:val="28"/>
          <w:lang w:val="en-US" w:eastAsia="ru-RU"/>
        </w:rPr>
      </w:pPr>
      <w:r w:rsidRPr="00443523">
        <w:rPr>
          <w:rFonts w:ascii="Times New Roman" w:eastAsia="Times New Roman" w:hAnsi="Times New Roman" w:cs="Times New Roman"/>
          <w:b/>
          <w:bCs/>
          <w:sz w:val="28"/>
          <w:szCs w:val="28"/>
          <w:lang w:val="en-US" w:eastAsia="ru-RU"/>
        </w:rPr>
        <w:t>Key</w:t>
      </w:r>
      <w:r w:rsidRPr="00C5237F">
        <w:rPr>
          <w:rFonts w:ascii="Times New Roman" w:eastAsia="Times New Roman" w:hAnsi="Times New Roman" w:cs="Times New Roman"/>
          <w:b/>
          <w:bCs/>
          <w:sz w:val="28"/>
          <w:szCs w:val="28"/>
          <w:lang w:val="en-US" w:eastAsia="ru-RU"/>
        </w:rPr>
        <w:t xml:space="preserve"> </w:t>
      </w:r>
      <w:r w:rsidRPr="00443523">
        <w:rPr>
          <w:rFonts w:ascii="Times New Roman" w:eastAsia="Times New Roman" w:hAnsi="Times New Roman" w:cs="Times New Roman"/>
          <w:b/>
          <w:bCs/>
          <w:sz w:val="28"/>
          <w:szCs w:val="28"/>
          <w:lang w:val="en-US" w:eastAsia="ru-RU"/>
        </w:rPr>
        <w:t>words:</w:t>
      </w:r>
      <w:r w:rsidRPr="00443523">
        <w:rPr>
          <w:rFonts w:ascii="Times New Roman" w:eastAsia="Times New Roman" w:hAnsi="Times New Roman" w:cs="Times New Roman"/>
          <w:sz w:val="28"/>
          <w:szCs w:val="28"/>
          <w:lang w:val="en-US" w:eastAsia="ru-RU"/>
        </w:rPr>
        <w:t xml:space="preserve"> Thirteen Years' War, Moscow State, "liberation", narrative, descriptive language.</w:t>
      </w:r>
    </w:p>
    <w:p w14:paraId="6EAD37F8" w14:textId="45B56AAD" w:rsidR="00091EA9" w:rsidRDefault="00091EA9">
      <w:pPr>
        <w:rPr>
          <w:lang w:val="en-US"/>
        </w:rPr>
      </w:pPr>
    </w:p>
    <w:p w14:paraId="699E31E6" w14:textId="77777777" w:rsidR="00527998" w:rsidRDefault="00527998" w:rsidP="00527998">
      <w:pPr>
        <w:spacing w:after="0" w:line="240" w:lineRule="auto"/>
        <w:rPr>
          <w:rFonts w:ascii="Times New Roman" w:eastAsia="Times New Roman" w:hAnsi="Times New Roman" w:cs="Times New Roman"/>
          <w:b/>
          <w:color w:val="FF0000"/>
          <w:sz w:val="28"/>
          <w:szCs w:val="28"/>
          <w:lang w:eastAsia="ru-RU"/>
        </w:rPr>
      </w:pPr>
      <w:r w:rsidRPr="00F52FCE">
        <w:rPr>
          <w:rFonts w:ascii="Times New Roman" w:eastAsia="Times New Roman" w:hAnsi="Times New Roman" w:cs="Times New Roman"/>
          <w:b/>
          <w:color w:val="FF0000"/>
          <w:sz w:val="28"/>
          <w:szCs w:val="28"/>
          <w:lang w:eastAsia="ru-RU"/>
        </w:rPr>
        <w:t>УДК</w:t>
      </w:r>
    </w:p>
    <w:p w14:paraId="74ED4355" w14:textId="77777777" w:rsidR="00527998" w:rsidRPr="00F52FCE" w:rsidRDefault="00527998" w:rsidP="00527998">
      <w:pPr>
        <w:spacing w:after="0" w:line="240" w:lineRule="auto"/>
        <w:jc w:val="right"/>
        <w:rPr>
          <w:rFonts w:ascii="Times New Roman" w:eastAsia="Times New Roman" w:hAnsi="Times New Roman" w:cs="Times New Roman"/>
          <w:b/>
          <w:color w:val="FF0000"/>
          <w:sz w:val="28"/>
          <w:szCs w:val="28"/>
          <w:lang w:eastAsia="ru-RU"/>
        </w:rPr>
      </w:pPr>
      <w:r w:rsidRPr="00092EC3">
        <w:rPr>
          <w:rFonts w:ascii="Times New Roman" w:eastAsia="Calibri" w:hAnsi="Times New Roman" w:cs="Times New Roman"/>
          <w:b/>
          <w:bCs/>
          <w:sz w:val="28"/>
          <w:szCs w:val="28"/>
        </w:rPr>
        <w:t>http://doi.org/</w:t>
      </w:r>
      <w:r w:rsidRPr="00D21A10">
        <w:rPr>
          <w:rFonts w:ascii="Times New Roman" w:eastAsia="Calibri" w:hAnsi="Times New Roman" w:cs="Times New Roman"/>
          <w:b/>
          <w:bCs/>
          <w:sz w:val="28"/>
          <w:szCs w:val="28"/>
        </w:rPr>
        <w:t>10.37493/2409-1030.2022.4.9</w:t>
      </w:r>
    </w:p>
    <w:p w14:paraId="4D3CFA9B" w14:textId="77777777" w:rsidR="00527998" w:rsidRPr="00F52FCE" w:rsidRDefault="00527998" w:rsidP="00527998">
      <w:pPr>
        <w:spacing w:after="0" w:line="240" w:lineRule="auto"/>
        <w:jc w:val="right"/>
        <w:rPr>
          <w:rFonts w:ascii="Times New Roman" w:eastAsia="Times New Roman" w:hAnsi="Times New Roman" w:cs="Times New Roman"/>
          <w:b/>
          <w:sz w:val="28"/>
          <w:szCs w:val="28"/>
          <w:lang w:eastAsia="ru-RU"/>
        </w:rPr>
      </w:pPr>
      <w:r w:rsidRPr="00F52FCE">
        <w:rPr>
          <w:rFonts w:ascii="Times New Roman" w:eastAsia="Times New Roman" w:hAnsi="Times New Roman" w:cs="Times New Roman"/>
          <w:b/>
          <w:sz w:val="28"/>
          <w:szCs w:val="28"/>
          <w:lang w:eastAsia="ru-RU"/>
        </w:rPr>
        <w:t xml:space="preserve">Н.Д. Судавцов </w:t>
      </w:r>
    </w:p>
    <w:p w14:paraId="3766E759" w14:textId="77777777" w:rsidR="00527998" w:rsidRPr="00F52FCE" w:rsidRDefault="00527998" w:rsidP="00527998">
      <w:pPr>
        <w:spacing w:after="0" w:line="360" w:lineRule="auto"/>
        <w:jc w:val="center"/>
        <w:rPr>
          <w:rFonts w:ascii="Times New Roman" w:eastAsia="Times New Roman" w:hAnsi="Times New Roman" w:cs="Times New Roman"/>
          <w:b/>
          <w:sz w:val="28"/>
          <w:szCs w:val="28"/>
          <w:lang w:eastAsia="ru-RU"/>
        </w:rPr>
      </w:pPr>
      <w:r w:rsidRPr="00F52FCE">
        <w:rPr>
          <w:rFonts w:ascii="Times New Roman" w:eastAsia="Times New Roman" w:hAnsi="Times New Roman" w:cs="Times New Roman"/>
          <w:b/>
          <w:sz w:val="28"/>
          <w:szCs w:val="28"/>
          <w:lang w:eastAsia="ru-RU"/>
        </w:rPr>
        <w:t xml:space="preserve">ЖЕНЩИНЫ-ТРАКТОРИСТКИ СССР </w:t>
      </w:r>
    </w:p>
    <w:p w14:paraId="01C60F69" w14:textId="77777777" w:rsidR="00527998" w:rsidRPr="00F52FCE" w:rsidRDefault="00527998" w:rsidP="00527998">
      <w:pPr>
        <w:spacing w:after="0" w:line="360" w:lineRule="auto"/>
        <w:jc w:val="center"/>
        <w:rPr>
          <w:rFonts w:ascii="Times New Roman" w:eastAsia="Times New Roman" w:hAnsi="Times New Roman" w:cs="Times New Roman"/>
          <w:b/>
          <w:sz w:val="28"/>
          <w:szCs w:val="28"/>
          <w:lang w:eastAsia="ru-RU"/>
        </w:rPr>
      </w:pPr>
      <w:r w:rsidRPr="00F52FCE">
        <w:rPr>
          <w:rFonts w:ascii="Times New Roman" w:eastAsia="Times New Roman" w:hAnsi="Times New Roman" w:cs="Times New Roman"/>
          <w:b/>
          <w:sz w:val="28"/>
          <w:szCs w:val="28"/>
          <w:lang w:eastAsia="ru-RU"/>
        </w:rPr>
        <w:t>В ГОДЫ ВЕЛИКОЙ ОТЕЧЕСТВЕННОЙ ВОЙНЫ</w:t>
      </w:r>
    </w:p>
    <w:p w14:paraId="2649ECF6"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eastAsia="ru-RU"/>
        </w:rPr>
      </w:pPr>
      <w:r w:rsidRPr="00F52FCE">
        <w:rPr>
          <w:rFonts w:ascii="Times New Roman" w:eastAsia="Times New Roman" w:hAnsi="Times New Roman" w:cs="Times New Roman"/>
          <w:sz w:val="28"/>
          <w:szCs w:val="28"/>
          <w:lang w:eastAsia="ru-RU"/>
        </w:rPr>
        <w:t xml:space="preserve">С началом Великой Отечественной войны, когда в действующую армию была призвана значительная часть мужчин, им на смену пришли женщины, старики и подростки. В трудных условиях войны они овладевали рабочими профессиями на курсах, методами бригадного ученичества, рядом с опытными работниками. Они считали, что для них линия фронта проходила через рабочее место и что боец на фронте и боец в тылу вместе куют победу над врагом. Объединившись в тракторные бригады, они выступили инициаторами высокопроизводительного труда, добиваясь высоких результатов в труде, </w:t>
      </w:r>
      <w:r w:rsidRPr="00F52FCE">
        <w:rPr>
          <w:rFonts w:ascii="Times New Roman" w:eastAsia="Times New Roman" w:hAnsi="Times New Roman" w:cs="Times New Roman"/>
          <w:sz w:val="28"/>
          <w:szCs w:val="28"/>
          <w:lang w:eastAsia="ru-RU"/>
        </w:rPr>
        <w:lastRenderedPageBreak/>
        <w:t>обеспечении фронта и тыла продукцией сельского хозяйства. Однако это не нашло должного отражения в исторической литературе.</w:t>
      </w:r>
    </w:p>
    <w:p w14:paraId="7D146D96"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eastAsia="ru-RU"/>
        </w:rPr>
      </w:pPr>
      <w:r w:rsidRPr="00F52FCE">
        <w:rPr>
          <w:rFonts w:ascii="Times New Roman" w:eastAsia="Times New Roman" w:hAnsi="Times New Roman" w:cs="Times New Roman"/>
          <w:sz w:val="28"/>
          <w:szCs w:val="28"/>
          <w:lang w:eastAsia="ru-RU"/>
        </w:rPr>
        <w:t>Женщины – трактористки Ставрополья, среди которых было немало последовательниц известной украинской трактористки Паши Ангелиной в начале 1942 г. выступили с инициативой развернуть в стране Всесоюзное социалистическое соревнование женщин – трактористок и женских тракторных бригад и призвали женщин-трактористок страны активно включиться в это общенародное движение.</w:t>
      </w:r>
    </w:p>
    <w:p w14:paraId="13BD0AA2"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eastAsia="ru-RU"/>
        </w:rPr>
      </w:pPr>
      <w:r w:rsidRPr="00F52FCE">
        <w:rPr>
          <w:rFonts w:ascii="Times New Roman" w:eastAsia="Times New Roman" w:hAnsi="Times New Roman" w:cs="Times New Roman"/>
          <w:sz w:val="28"/>
          <w:szCs w:val="28"/>
          <w:lang w:eastAsia="ru-RU"/>
        </w:rPr>
        <w:t>При этом они решили работать по-фронтовому и взяли на себя высокие обязательства по выполнению производственных заданий. Трактористки страны с горячим энтузиазмом поддержали инициативу ставропольчанок.</w:t>
      </w:r>
    </w:p>
    <w:p w14:paraId="564D9522"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eastAsia="ru-RU"/>
        </w:rPr>
      </w:pPr>
      <w:r w:rsidRPr="00F52FCE">
        <w:rPr>
          <w:rFonts w:ascii="Times New Roman" w:eastAsia="Times New Roman" w:hAnsi="Times New Roman" w:cs="Times New Roman"/>
          <w:sz w:val="28"/>
          <w:szCs w:val="28"/>
          <w:lang w:eastAsia="ru-RU"/>
        </w:rPr>
        <w:t xml:space="preserve">Работать трактористкам приходилось в очень трудных условиях, в слякоть, стужу, не доедая, не досыпая, испытывая огромную нужду в запасных частях. Среди них немало было тех, кто не достиг и совершеннолетия, но кто горел желанием внести свой вклад в победу над врагом. Особенно трудно было работать на территориях, освобождённых от оккупации, которые были разграблены и уничтожены фашистами, а сельскохозяйственная техника была приведена в негодность. С большим трудом её приводили в порядок и работали. Но и эту тяжесть женщины – трактористки вынесли на себе. В процессе работы многие из них становились мастерами своего дела и не уступали в работе мужчинам. Женщины –трактористки страны внесли достойный вклад в победу над врагом. </w:t>
      </w:r>
    </w:p>
    <w:p w14:paraId="795F2099" w14:textId="77777777" w:rsidR="00527998" w:rsidRDefault="00527998" w:rsidP="00527998">
      <w:pPr>
        <w:spacing w:after="0" w:line="360" w:lineRule="auto"/>
        <w:ind w:firstLine="709"/>
        <w:jc w:val="both"/>
        <w:rPr>
          <w:rFonts w:ascii="Times New Roman" w:eastAsia="Times New Roman" w:hAnsi="Times New Roman" w:cs="Times New Roman"/>
          <w:sz w:val="28"/>
          <w:szCs w:val="28"/>
          <w:lang w:eastAsia="ru-RU"/>
        </w:rPr>
      </w:pPr>
      <w:r w:rsidRPr="00F52FCE">
        <w:rPr>
          <w:rFonts w:ascii="Times New Roman" w:eastAsia="Times New Roman" w:hAnsi="Times New Roman" w:cs="Times New Roman"/>
          <w:b/>
          <w:sz w:val="28"/>
          <w:szCs w:val="28"/>
          <w:lang w:eastAsia="ru-RU"/>
        </w:rPr>
        <w:t>Ключевые слова</w:t>
      </w:r>
      <w:r w:rsidRPr="00F52FCE">
        <w:rPr>
          <w:rFonts w:ascii="Times New Roman" w:eastAsia="Times New Roman" w:hAnsi="Times New Roman" w:cs="Times New Roman"/>
          <w:sz w:val="28"/>
          <w:szCs w:val="28"/>
          <w:lang w:eastAsia="ru-RU"/>
        </w:rPr>
        <w:t>: война, женщины, молодёжь, трактористки, пахота, уборка, труд, бригады, соревнование, механизаторы.</w:t>
      </w:r>
    </w:p>
    <w:p w14:paraId="67C8D7B9" w14:textId="77777777" w:rsidR="00527998" w:rsidRPr="00F52FCE" w:rsidRDefault="00527998" w:rsidP="00527998">
      <w:pPr>
        <w:spacing w:after="0" w:line="360" w:lineRule="auto"/>
        <w:jc w:val="right"/>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b/>
          <w:sz w:val="28"/>
          <w:szCs w:val="28"/>
          <w:lang w:val="en-US" w:eastAsia="ru-RU"/>
        </w:rPr>
        <w:t xml:space="preserve">Nikolay D. Sudavtsov </w:t>
      </w:r>
    </w:p>
    <w:p w14:paraId="1F08B1A5" w14:textId="77777777" w:rsidR="00527998" w:rsidRPr="00F52FCE" w:rsidRDefault="00527998" w:rsidP="00527998">
      <w:pPr>
        <w:spacing w:after="0" w:line="360" w:lineRule="auto"/>
        <w:jc w:val="center"/>
        <w:rPr>
          <w:rFonts w:ascii="Times New Roman" w:eastAsia="Times New Roman" w:hAnsi="Times New Roman" w:cs="Times New Roman"/>
          <w:b/>
          <w:sz w:val="28"/>
          <w:szCs w:val="28"/>
          <w:lang w:val="en-US" w:eastAsia="ru-RU"/>
        </w:rPr>
      </w:pPr>
      <w:r w:rsidRPr="00F52FCE">
        <w:rPr>
          <w:rFonts w:ascii="Times New Roman" w:eastAsia="Times New Roman" w:hAnsi="Times New Roman" w:cs="Times New Roman"/>
          <w:b/>
          <w:sz w:val="28"/>
          <w:szCs w:val="28"/>
          <w:lang w:val="en-US" w:eastAsia="ru-RU"/>
        </w:rPr>
        <w:t>WOMEN TRACTOR DRIVERS OF THE USSR</w:t>
      </w:r>
    </w:p>
    <w:p w14:paraId="2B93CDD3" w14:textId="77777777" w:rsidR="00527998" w:rsidRPr="00F52FCE" w:rsidRDefault="00527998" w:rsidP="00527998">
      <w:pPr>
        <w:spacing w:after="0" w:line="360" w:lineRule="auto"/>
        <w:jc w:val="center"/>
        <w:rPr>
          <w:rFonts w:ascii="Times New Roman" w:eastAsia="Times New Roman" w:hAnsi="Times New Roman" w:cs="Times New Roman"/>
          <w:b/>
          <w:sz w:val="28"/>
          <w:szCs w:val="28"/>
          <w:lang w:val="en-US" w:eastAsia="ru-RU"/>
        </w:rPr>
      </w:pPr>
      <w:r w:rsidRPr="00F52FCE">
        <w:rPr>
          <w:rFonts w:ascii="Times New Roman" w:eastAsia="Times New Roman" w:hAnsi="Times New Roman" w:cs="Times New Roman"/>
          <w:b/>
          <w:sz w:val="28"/>
          <w:szCs w:val="28"/>
          <w:lang w:val="en-US" w:eastAsia="ru-RU"/>
        </w:rPr>
        <w:t>DURING THE GREAT PATRIOTIC WAR</w:t>
      </w:r>
    </w:p>
    <w:p w14:paraId="604BEB0C"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sz w:val="28"/>
          <w:szCs w:val="28"/>
          <w:lang w:val="en-US" w:eastAsia="ru-RU"/>
        </w:rPr>
        <w:t xml:space="preserve">With the beginning of the Great Patriotic War, when a significant part of the men were called up to the active army, they were replaced by women, the elderly and teenagers. In the difficult conditions of the war, they mastered working </w:t>
      </w:r>
      <w:r w:rsidRPr="00F52FCE">
        <w:rPr>
          <w:rFonts w:ascii="Times New Roman" w:eastAsia="Times New Roman" w:hAnsi="Times New Roman" w:cs="Times New Roman"/>
          <w:sz w:val="28"/>
          <w:szCs w:val="28"/>
          <w:lang w:val="en-US" w:eastAsia="ru-RU"/>
        </w:rPr>
        <w:lastRenderedPageBreak/>
        <w:t>professions in courses, methods of brigade apprenticeship, next to experienced workers.</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They believed that for them the front line passed through the workplace and that the fighter at the front and the fighter in the rear together forged victory over the enemy.</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Having united in tractor brigades, they acted as the initiators of highly productive labor, achieving high results in labor, providing the front and rear with agricultural products.</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However, this has not been adequately reflected in the historical literature.</w:t>
      </w:r>
    </w:p>
    <w:p w14:paraId="5B850B91"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sz w:val="28"/>
          <w:szCs w:val="28"/>
          <w:lang w:val="en-US" w:eastAsia="ru-RU"/>
        </w:rPr>
        <w:t>At the beginning of 1942, female tractor drivers of Stavropol, among whom there were many followers of the famous Ukrainian tractor driver Pasha Angelina, took the initiative to launch the All-Union Socialist Competition of Women Tractor Drivers and Women's Tractor Brigades in the country and called on the country's female tractor drivers to actively join this nationwide movement.</w:t>
      </w:r>
    </w:p>
    <w:p w14:paraId="1A199C36"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sz w:val="28"/>
          <w:szCs w:val="28"/>
          <w:lang w:val="en-US" w:eastAsia="ru-RU"/>
        </w:rPr>
        <w:t>At the same time, they decided to work in a front-line manner and assumed high obligations to fulfill production tasks. Tractor drivers of the country with ardent enthusiasm supported the initiative of the Stavropol women.</w:t>
      </w:r>
    </w:p>
    <w:p w14:paraId="638A719F"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sz w:val="28"/>
          <w:szCs w:val="28"/>
          <w:lang w:val="en-US" w:eastAsia="ru-RU"/>
        </w:rPr>
        <w:t>Tractor drivers had to work in very difficult conditions, in slush, cold, without eating, not sleeping, experiencing a huge need for spare parts.</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Among them there were many who had not even reached the age of majority, but who were eager to contribute to the victory over the enemy.</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It was especially difficult to work in the territories liberated from occupation, which were looted and destroyed by the Nazis, and agricultural equipment was rendered unusable.</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With great difficulty it was put in order and worked.</w:t>
      </w:r>
      <w:r w:rsidRPr="00F52FCE">
        <w:rPr>
          <w:rFonts w:ascii="Times New Roman" w:eastAsia="Times New Roman" w:hAnsi="Times New Roman" w:cs="Times New Roman"/>
          <w:sz w:val="24"/>
          <w:szCs w:val="24"/>
          <w:lang w:val="en-US" w:eastAsia="ru-RU"/>
        </w:rPr>
        <w:t xml:space="preserve"> </w:t>
      </w:r>
      <w:r w:rsidRPr="00F52FCE">
        <w:rPr>
          <w:rFonts w:ascii="Times New Roman" w:eastAsia="Times New Roman" w:hAnsi="Times New Roman" w:cs="Times New Roman"/>
          <w:sz w:val="28"/>
          <w:szCs w:val="28"/>
          <w:lang w:val="en-US" w:eastAsia="ru-RU"/>
        </w:rPr>
        <w:t>But the women - tractor drivers bore this burden on themselves. In the process of work, many of them became masters of their craft and were not inferior to men in work. Women tractor drivers of the country made a worthy contribution to the victory over the enemy.</w:t>
      </w:r>
    </w:p>
    <w:p w14:paraId="5135CED5" w14:textId="77777777" w:rsidR="00527998" w:rsidRPr="00F52FCE" w:rsidRDefault="00527998" w:rsidP="00527998">
      <w:pPr>
        <w:spacing w:after="0" w:line="360" w:lineRule="auto"/>
        <w:ind w:firstLine="709"/>
        <w:jc w:val="both"/>
        <w:rPr>
          <w:rFonts w:ascii="Times New Roman" w:eastAsia="Times New Roman" w:hAnsi="Times New Roman" w:cs="Times New Roman"/>
          <w:sz w:val="28"/>
          <w:szCs w:val="28"/>
          <w:lang w:val="en-US" w:eastAsia="ru-RU"/>
        </w:rPr>
      </w:pPr>
      <w:r w:rsidRPr="00F52FCE">
        <w:rPr>
          <w:rFonts w:ascii="Times New Roman" w:eastAsia="Times New Roman" w:hAnsi="Times New Roman" w:cs="Times New Roman"/>
          <w:b/>
          <w:bCs/>
          <w:sz w:val="28"/>
          <w:szCs w:val="28"/>
          <w:lang w:val="en-US" w:eastAsia="ru-RU"/>
        </w:rPr>
        <w:t>Key words:</w:t>
      </w:r>
      <w:r w:rsidRPr="00F52FCE">
        <w:rPr>
          <w:rFonts w:ascii="Times New Roman" w:eastAsia="Times New Roman" w:hAnsi="Times New Roman" w:cs="Times New Roman"/>
          <w:sz w:val="28"/>
          <w:szCs w:val="28"/>
          <w:lang w:val="en-US" w:eastAsia="ru-RU"/>
        </w:rPr>
        <w:t xml:space="preserve"> war, women, youth, tractor drivers, plowing, cleaning, labor, brigades, competition, machine operators.</w:t>
      </w:r>
    </w:p>
    <w:p w14:paraId="5BCA3D4C" w14:textId="53126AB4" w:rsidR="00067B3A" w:rsidRDefault="00067B3A">
      <w:pPr>
        <w:rPr>
          <w:lang w:val="en-US"/>
        </w:rPr>
      </w:pPr>
    </w:p>
    <w:p w14:paraId="4EA2E72B" w14:textId="77777777" w:rsidR="0052008D" w:rsidRDefault="0052008D" w:rsidP="0052008D">
      <w:pPr>
        <w:spacing w:after="0" w:line="360" w:lineRule="auto"/>
        <w:ind w:firstLine="709"/>
        <w:jc w:val="both"/>
        <w:rPr>
          <w:rFonts w:ascii="Times New Roman" w:hAnsi="Times New Roman" w:cs="Times New Roman"/>
          <w:b/>
          <w:bCs/>
          <w:sz w:val="28"/>
          <w:szCs w:val="28"/>
        </w:rPr>
      </w:pPr>
      <w:r w:rsidRPr="009B66F5">
        <w:rPr>
          <w:rFonts w:ascii="Times New Roman" w:hAnsi="Times New Roman" w:cs="Times New Roman"/>
          <w:b/>
          <w:bCs/>
          <w:sz w:val="28"/>
          <w:szCs w:val="28"/>
        </w:rPr>
        <w:t xml:space="preserve">УДК 94 </w:t>
      </w:r>
    </w:p>
    <w:p w14:paraId="5A8B3808" w14:textId="77777777" w:rsidR="0052008D" w:rsidRPr="009B66F5" w:rsidRDefault="0052008D" w:rsidP="0052008D">
      <w:pPr>
        <w:spacing w:after="0" w:line="360" w:lineRule="auto"/>
        <w:ind w:firstLine="709"/>
        <w:jc w:val="right"/>
        <w:rPr>
          <w:rFonts w:ascii="Times New Roman" w:hAnsi="Times New Roman" w:cs="Times New Roman"/>
          <w:b/>
          <w:bCs/>
          <w:sz w:val="28"/>
          <w:szCs w:val="28"/>
        </w:rPr>
      </w:pPr>
      <w:r w:rsidRPr="00092EC3">
        <w:rPr>
          <w:rFonts w:ascii="Times New Roman" w:eastAsia="Calibri" w:hAnsi="Times New Roman" w:cs="Times New Roman"/>
          <w:b/>
          <w:bCs/>
          <w:sz w:val="28"/>
          <w:szCs w:val="28"/>
        </w:rPr>
        <w:t>http://doi.org/</w:t>
      </w:r>
      <w:r w:rsidRPr="000E4086">
        <w:rPr>
          <w:rFonts w:ascii="Times New Roman" w:eastAsia="Calibri" w:hAnsi="Times New Roman" w:cs="Times New Roman"/>
          <w:b/>
          <w:bCs/>
          <w:sz w:val="28"/>
          <w:szCs w:val="28"/>
        </w:rPr>
        <w:t>10.37493/2409-1030.2022.4.10</w:t>
      </w:r>
    </w:p>
    <w:p w14:paraId="29F17BD3" w14:textId="77777777" w:rsidR="0052008D" w:rsidRPr="00DA6003" w:rsidRDefault="0052008D" w:rsidP="0052008D">
      <w:pPr>
        <w:spacing w:after="0" w:line="360" w:lineRule="auto"/>
        <w:ind w:firstLine="709"/>
        <w:jc w:val="right"/>
        <w:rPr>
          <w:rFonts w:ascii="Times New Roman" w:hAnsi="Times New Roman" w:cs="Times New Roman"/>
          <w:b/>
          <w:sz w:val="28"/>
          <w:szCs w:val="28"/>
        </w:rPr>
      </w:pPr>
      <w:r w:rsidRPr="00DA6003">
        <w:rPr>
          <w:rFonts w:ascii="Times New Roman" w:hAnsi="Times New Roman" w:cs="Times New Roman"/>
          <w:b/>
          <w:sz w:val="28"/>
          <w:szCs w:val="28"/>
        </w:rPr>
        <w:lastRenderedPageBreak/>
        <w:t>Е.П. Тельменко</w:t>
      </w:r>
    </w:p>
    <w:p w14:paraId="30281D3A" w14:textId="77777777" w:rsidR="0052008D" w:rsidRPr="00DA6003" w:rsidRDefault="0052008D" w:rsidP="0052008D">
      <w:pPr>
        <w:spacing w:after="0" w:line="360" w:lineRule="auto"/>
        <w:ind w:firstLine="709"/>
        <w:jc w:val="center"/>
        <w:rPr>
          <w:rFonts w:ascii="Times New Roman" w:hAnsi="Times New Roman" w:cs="Times New Roman"/>
          <w:b/>
          <w:sz w:val="28"/>
          <w:szCs w:val="28"/>
        </w:rPr>
      </w:pPr>
      <w:r w:rsidRPr="00DA6003">
        <w:rPr>
          <w:rFonts w:ascii="Times New Roman" w:hAnsi="Times New Roman" w:cs="Times New Roman"/>
          <w:b/>
          <w:sz w:val="28"/>
          <w:szCs w:val="28"/>
        </w:rPr>
        <w:t>«ВАМ БЫЛ ДАН СВЕТ ПИСАНИЯ…». НАСТАВЛЕНИЯ ДЖИРОЛАМО САВОНАРОЛЫ ПАСТВЕ В ПОСТИЖЕНИИ БИБЛИИ</w:t>
      </w:r>
    </w:p>
    <w:p w14:paraId="0DF6102B" w14:textId="77777777" w:rsidR="0052008D" w:rsidRPr="00DA6003" w:rsidRDefault="0052008D" w:rsidP="0052008D">
      <w:pPr>
        <w:spacing w:after="0" w:line="360" w:lineRule="auto"/>
        <w:ind w:firstLine="709"/>
        <w:jc w:val="both"/>
        <w:rPr>
          <w:rFonts w:ascii="Times New Roman" w:hAnsi="Times New Roman" w:cs="Times New Roman"/>
          <w:sz w:val="28"/>
          <w:szCs w:val="28"/>
        </w:rPr>
      </w:pPr>
      <w:r w:rsidRPr="00DA6003">
        <w:rPr>
          <w:rFonts w:ascii="Times New Roman" w:hAnsi="Times New Roman" w:cs="Times New Roman"/>
          <w:sz w:val="28"/>
          <w:szCs w:val="28"/>
        </w:rPr>
        <w:t xml:space="preserve">Флорентийский пророк и реформатор Джироламо Савонарола (1452 – 1498), в конце </w:t>
      </w:r>
      <w:r w:rsidRPr="00DA6003">
        <w:rPr>
          <w:rFonts w:ascii="Times New Roman" w:hAnsi="Times New Roman" w:cs="Times New Roman"/>
          <w:sz w:val="28"/>
          <w:szCs w:val="28"/>
          <w:lang w:val="en-US"/>
        </w:rPr>
        <w:t>XV</w:t>
      </w:r>
      <w:r w:rsidRPr="00DA6003">
        <w:rPr>
          <w:rFonts w:ascii="Times New Roman" w:hAnsi="Times New Roman" w:cs="Times New Roman"/>
          <w:sz w:val="28"/>
          <w:szCs w:val="28"/>
        </w:rPr>
        <w:t xml:space="preserve"> в. проповедовал своей пастве необходимость и неизбежность обновления Церкви, которая, по его словам, вступила в состояние «равнодушных» (tiepidi). Как утверждал доминиканец, единое мистическое тело Церкви может преобразиться, если изменятся ее члены – сами верующие. В своих проповедях монах неоднократно раскрывал слушателям признаки «доброго христианина»: вера, любовь к Богу и ближнему, внутренняя и внешняя простота. А поскольку идеальным образцом для подражания в культивировании этих качеств являлся Христос и его ранние последователи, закономерным условием реформирования нынешних христиан являлось их обращение к изучению Библии. Одновременно, о стремлении современников Савонаролы к самостоятельному чтению Священного Писания свидетельствует тот факт, что в 1471 г. в печати появляются, а затем неоднократно переиздаются его полные переводы на итальянский язык (</w:t>
      </w:r>
      <w:r w:rsidRPr="00DA6003">
        <w:rPr>
          <w:rFonts w:ascii="Times New Roman" w:hAnsi="Times New Roman" w:cs="Times New Roman"/>
          <w:sz w:val="28"/>
          <w:szCs w:val="28"/>
          <w:lang w:val="en-US"/>
        </w:rPr>
        <w:t>volgare</w:t>
      </w:r>
      <w:r w:rsidRPr="00DA6003">
        <w:rPr>
          <w:rFonts w:ascii="Times New Roman" w:hAnsi="Times New Roman" w:cs="Times New Roman"/>
          <w:sz w:val="28"/>
          <w:szCs w:val="28"/>
        </w:rPr>
        <w:t xml:space="preserve">). </w:t>
      </w:r>
    </w:p>
    <w:p w14:paraId="33D6E9C9" w14:textId="77777777" w:rsidR="0052008D" w:rsidRPr="00DA6003" w:rsidRDefault="0052008D" w:rsidP="0052008D">
      <w:pPr>
        <w:spacing w:after="0" w:line="360" w:lineRule="auto"/>
        <w:ind w:firstLine="709"/>
        <w:jc w:val="both"/>
        <w:rPr>
          <w:rFonts w:ascii="Times New Roman" w:hAnsi="Times New Roman" w:cs="Times New Roman"/>
          <w:sz w:val="28"/>
          <w:szCs w:val="28"/>
        </w:rPr>
      </w:pPr>
      <w:r w:rsidRPr="00DA6003">
        <w:rPr>
          <w:rFonts w:ascii="Times New Roman" w:hAnsi="Times New Roman" w:cs="Times New Roman"/>
          <w:sz w:val="28"/>
          <w:szCs w:val="28"/>
        </w:rPr>
        <w:t xml:space="preserve">Проповедь «простоты» христианской жизни приводит Савонаролу к утверждению, что именно обычным прихожанам («простым сердцем») предназначено обновить Церковь. При этом, обнаруженные в выступлениях доминиканца два пути в постижении Библии – ее чтение и посещение проповедей, порождают вопрос о том, какова была допускаемая Савонаролой мера самостоятельности паствы в изучении священных текстов. Для ответа на него к анализу были привлечены проповеди монаха на ветхозаветную Книгу Руфи, в которых в концентрированном виде присутствуют наставления о том, как следует изучать Библию, в том числе – рассуждения о месте и роли проповедников и специфике собственных усилий верующего в освоении ее смыслов. Преимущество «простых» людей, согласно монаху, заключается в их способности прочувствовать Писание и сделать его императивом </w:t>
      </w:r>
      <w:r w:rsidRPr="00DA6003">
        <w:rPr>
          <w:rFonts w:ascii="Times New Roman" w:hAnsi="Times New Roman" w:cs="Times New Roman"/>
          <w:sz w:val="28"/>
          <w:szCs w:val="28"/>
        </w:rPr>
        <w:lastRenderedPageBreak/>
        <w:t>повседневного существования. Однако, поскольку, во-первых, не все современные верующие способны на это, а во-вторых, они ограничены в понимании более тонких смыслов библейских текстов, им требуется помощь более сведущих людей – «добрых пастырей». Таким образом, в проповедях Савонаролы присутствует как поощрение к постижению Писания, так и довольно сдержанное отношение к устремлениям по его самостоятельному освоению, сопровождающееся рядом оговорок и опасений.</w:t>
      </w:r>
    </w:p>
    <w:p w14:paraId="56D38548" w14:textId="77777777" w:rsidR="0052008D" w:rsidRDefault="0052008D" w:rsidP="0052008D">
      <w:pPr>
        <w:spacing w:after="0" w:line="360" w:lineRule="auto"/>
        <w:ind w:firstLine="709"/>
        <w:jc w:val="both"/>
        <w:rPr>
          <w:rFonts w:ascii="Times New Roman" w:hAnsi="Times New Roman" w:cs="Times New Roman"/>
          <w:sz w:val="28"/>
          <w:szCs w:val="28"/>
        </w:rPr>
      </w:pPr>
      <w:r w:rsidRPr="00DA6003">
        <w:rPr>
          <w:rFonts w:ascii="Times New Roman" w:hAnsi="Times New Roman" w:cs="Times New Roman"/>
          <w:b/>
          <w:sz w:val="28"/>
          <w:szCs w:val="28"/>
        </w:rPr>
        <w:t>Ключевые слова:</w:t>
      </w:r>
      <w:r w:rsidRPr="00DA6003">
        <w:rPr>
          <w:rFonts w:ascii="Times New Roman" w:hAnsi="Times New Roman" w:cs="Times New Roman"/>
          <w:sz w:val="28"/>
          <w:szCs w:val="28"/>
        </w:rPr>
        <w:t xml:space="preserve"> Джироламо Савонарола, Священное Писание, Книга Руфи, проповедники, «простота», добрый христианин, равнодушные (</w:t>
      </w:r>
      <w:r w:rsidRPr="00DA6003">
        <w:rPr>
          <w:rFonts w:ascii="Times New Roman" w:hAnsi="Times New Roman" w:cs="Times New Roman"/>
          <w:sz w:val="28"/>
          <w:szCs w:val="28"/>
          <w:lang w:val="en-US"/>
        </w:rPr>
        <w:t>tiepidi</w:t>
      </w:r>
      <w:r w:rsidRPr="00DA6003">
        <w:rPr>
          <w:rFonts w:ascii="Times New Roman" w:hAnsi="Times New Roman" w:cs="Times New Roman"/>
          <w:sz w:val="28"/>
          <w:szCs w:val="28"/>
        </w:rPr>
        <w:t>).</w:t>
      </w:r>
    </w:p>
    <w:p w14:paraId="06733E79" w14:textId="77777777" w:rsidR="0052008D" w:rsidRPr="00DA6003" w:rsidRDefault="0052008D" w:rsidP="0052008D">
      <w:pPr>
        <w:spacing w:after="0" w:line="360" w:lineRule="auto"/>
        <w:ind w:firstLine="709"/>
        <w:jc w:val="right"/>
        <w:rPr>
          <w:rFonts w:ascii="Times New Roman" w:hAnsi="Times New Roman" w:cs="Times New Roman"/>
          <w:b/>
          <w:sz w:val="28"/>
          <w:szCs w:val="28"/>
          <w:lang w:val="en-US"/>
        </w:rPr>
      </w:pPr>
      <w:r w:rsidRPr="00DA6003">
        <w:rPr>
          <w:rFonts w:ascii="Times New Roman" w:hAnsi="Times New Roman" w:cs="Times New Roman"/>
          <w:b/>
          <w:sz w:val="28"/>
          <w:szCs w:val="28"/>
          <w:lang w:val="en-US"/>
        </w:rPr>
        <w:t>Elena</w:t>
      </w:r>
      <w:r w:rsidRPr="009B66F5">
        <w:rPr>
          <w:rFonts w:ascii="Times New Roman" w:hAnsi="Times New Roman" w:cs="Times New Roman"/>
          <w:b/>
          <w:sz w:val="28"/>
          <w:szCs w:val="28"/>
          <w:lang w:val="en-US"/>
        </w:rPr>
        <w:t xml:space="preserve"> </w:t>
      </w:r>
      <w:r>
        <w:rPr>
          <w:rFonts w:ascii="Times New Roman" w:hAnsi="Times New Roman" w:cs="Times New Roman"/>
          <w:b/>
          <w:sz w:val="28"/>
          <w:szCs w:val="28"/>
          <w:lang w:val="en-US"/>
        </w:rPr>
        <w:t>P.</w:t>
      </w:r>
      <w:r w:rsidRPr="00DA6003">
        <w:rPr>
          <w:rFonts w:ascii="Times New Roman" w:hAnsi="Times New Roman" w:cs="Times New Roman"/>
          <w:b/>
          <w:sz w:val="28"/>
          <w:szCs w:val="28"/>
          <w:lang w:val="en-US"/>
        </w:rPr>
        <w:t xml:space="preserve"> Telmenko</w:t>
      </w:r>
    </w:p>
    <w:p w14:paraId="0E306E65" w14:textId="77777777" w:rsidR="0052008D" w:rsidRPr="00DA6003" w:rsidRDefault="0052008D" w:rsidP="0052008D">
      <w:pPr>
        <w:spacing w:after="0" w:line="360" w:lineRule="auto"/>
        <w:ind w:firstLine="709"/>
        <w:jc w:val="center"/>
        <w:rPr>
          <w:rFonts w:ascii="Times New Roman" w:hAnsi="Times New Roman" w:cs="Times New Roman"/>
          <w:b/>
          <w:sz w:val="28"/>
          <w:szCs w:val="28"/>
          <w:lang w:val="en-US"/>
        </w:rPr>
      </w:pPr>
      <w:r w:rsidRPr="00B73BA8">
        <w:rPr>
          <w:rFonts w:ascii="Times New Roman" w:hAnsi="Times New Roman" w:cs="Times New Roman"/>
          <w:b/>
          <w:sz w:val="28"/>
          <w:szCs w:val="28"/>
          <w:lang w:val="en-US"/>
        </w:rPr>
        <w:t>«</w:t>
      </w:r>
      <w:r w:rsidRPr="00DA6003">
        <w:rPr>
          <w:rFonts w:ascii="Times New Roman" w:hAnsi="Times New Roman" w:cs="Times New Roman"/>
          <w:b/>
          <w:sz w:val="28"/>
          <w:szCs w:val="28"/>
          <w:lang w:val="en-US"/>
        </w:rPr>
        <w:t>YOU HAVE BEEN GIVEN</w:t>
      </w:r>
      <w:r>
        <w:rPr>
          <w:rFonts w:ascii="Times New Roman" w:hAnsi="Times New Roman" w:cs="Times New Roman"/>
          <w:b/>
          <w:sz w:val="28"/>
          <w:szCs w:val="28"/>
          <w:lang w:val="en-US"/>
        </w:rPr>
        <w:t xml:space="preserve"> THE LIGHT OF THE SCRIPTURES...</w:t>
      </w:r>
      <w:r w:rsidRPr="00B73BA8">
        <w:rPr>
          <w:rFonts w:ascii="Times New Roman" w:hAnsi="Times New Roman" w:cs="Times New Roman"/>
          <w:b/>
          <w:sz w:val="28"/>
          <w:szCs w:val="28"/>
          <w:lang w:val="en-US"/>
        </w:rPr>
        <w:t>»</w:t>
      </w:r>
      <w:r w:rsidRPr="00DA6003">
        <w:rPr>
          <w:rFonts w:ascii="Times New Roman" w:hAnsi="Times New Roman" w:cs="Times New Roman"/>
          <w:b/>
          <w:sz w:val="28"/>
          <w:szCs w:val="28"/>
          <w:lang w:val="en-US"/>
        </w:rPr>
        <w:t xml:space="preserve"> GIROLAMO SAVONAROLA'S INSTRUCTIONS TO THE FLOCK IN UNDERSTANDING THE BIBLE</w:t>
      </w:r>
    </w:p>
    <w:p w14:paraId="7307C246" w14:textId="77777777" w:rsidR="0052008D" w:rsidRPr="00DA6003" w:rsidRDefault="0052008D" w:rsidP="0052008D">
      <w:pPr>
        <w:spacing w:after="0" w:line="360" w:lineRule="auto"/>
        <w:ind w:firstLine="709"/>
        <w:jc w:val="both"/>
        <w:rPr>
          <w:rFonts w:ascii="Times New Roman" w:hAnsi="Times New Roman" w:cs="Times New Roman"/>
          <w:sz w:val="28"/>
          <w:szCs w:val="28"/>
          <w:lang w:val="en-US"/>
        </w:rPr>
      </w:pPr>
      <w:r w:rsidRPr="00DA6003">
        <w:rPr>
          <w:rFonts w:ascii="Times New Roman" w:hAnsi="Times New Roman" w:cs="Times New Roman"/>
          <w:sz w:val="28"/>
          <w:szCs w:val="28"/>
          <w:lang w:val="en-US"/>
        </w:rPr>
        <w:t>The Florentine prophet and reformer Girolamo Savonarola (1452 – 1498), at the end of the 15th century preached to his flock the necessity and inevitability of the renewal of the Church, which, according to him, had entered a state of «the indifferent» (tiepidi). The Dominican argued that the unified mystical body of the Church could be transformed if its members, the believers themselves, change. In his sermons, the monk repeatedly revealed to his listeners the signs of a «good Christian»: faith, adoration of God and neighbourly charity, inner and outer simplicity. Since Christ and his early followers were the ideal role models for cultivating these qualities, the natural condition for reforming the Christians of the day was their turn to the study of the Bible. At the same time, the desire of Savonarola's contemporaries to read the Holy Scriptures on their own is evidenced by the fact that in 1471 its full translations into Italian (volgare) appeared in print and then were repeatedly republished.</w:t>
      </w:r>
      <w:r>
        <w:rPr>
          <w:rFonts w:ascii="Times New Roman" w:hAnsi="Times New Roman" w:cs="Times New Roman"/>
          <w:sz w:val="28"/>
          <w:szCs w:val="28"/>
          <w:lang w:val="en-US"/>
        </w:rPr>
        <w:t xml:space="preserve"> </w:t>
      </w:r>
    </w:p>
    <w:p w14:paraId="0BB4F05E" w14:textId="77777777" w:rsidR="0052008D" w:rsidRPr="00DA6003" w:rsidRDefault="0052008D" w:rsidP="0052008D">
      <w:pPr>
        <w:spacing w:after="0" w:line="360" w:lineRule="auto"/>
        <w:ind w:firstLine="709"/>
        <w:jc w:val="both"/>
        <w:rPr>
          <w:rFonts w:ascii="Times New Roman" w:hAnsi="Times New Roman" w:cs="Times New Roman"/>
          <w:sz w:val="28"/>
          <w:szCs w:val="28"/>
          <w:lang w:val="en-US"/>
        </w:rPr>
      </w:pPr>
      <w:r w:rsidRPr="00DA6003">
        <w:rPr>
          <w:rFonts w:ascii="Times New Roman" w:hAnsi="Times New Roman" w:cs="Times New Roman"/>
          <w:sz w:val="28"/>
          <w:szCs w:val="28"/>
          <w:lang w:val="en-US"/>
        </w:rPr>
        <w:t xml:space="preserve">The preaching of the Christian life «simplicity» led Savonarola to assert that ordinary parishioners («simple in heart») were destined to renew the Church. Moreover, the two ways in comprehending the Bible discovered in the speeches of the Dominican – reading it and attending sermons, raise the question of what was </w:t>
      </w:r>
      <w:r w:rsidRPr="00DA6003">
        <w:rPr>
          <w:rFonts w:ascii="Times New Roman" w:hAnsi="Times New Roman" w:cs="Times New Roman"/>
          <w:sz w:val="28"/>
          <w:szCs w:val="28"/>
          <w:lang w:val="en-US"/>
        </w:rPr>
        <w:lastRenderedPageBreak/>
        <w:t>the degree of independence of the flock allowed by Savonarola in the study of sacred texts. To answer this question, we analyzed the monk’s sermons on the Old Testament Book of Ruth, giving in concentrated form instructions on how to study the Bible, including reasoning about the place and role of preachers and the specifics of the believer’s own efforts in mastering its meanings. The advantage of «ordinary» people, according to the monk, lies in their ability to feel the Scripture and make it an imperative of everyday existence. However, since, firstly, not all the believers of the day were capable of this, and secondly, they were limited in understanding the finer meanings of biblical texts, they needed the help of more knowledgeable people – «good shepherds». Thus, Savonarola's sermons contain both an encouragement to comprehend the Scriptures, and a rather restrained attitude towards the aspirations for its independent development, accompanied by a number of reservations and fears.</w:t>
      </w:r>
    </w:p>
    <w:p w14:paraId="37760038" w14:textId="77777777" w:rsidR="0052008D" w:rsidRPr="00DA6003" w:rsidRDefault="0052008D" w:rsidP="0052008D">
      <w:pPr>
        <w:spacing w:after="0" w:line="360" w:lineRule="auto"/>
        <w:ind w:firstLine="709"/>
        <w:jc w:val="both"/>
        <w:rPr>
          <w:rFonts w:ascii="Times New Roman" w:hAnsi="Times New Roman" w:cs="Times New Roman"/>
          <w:sz w:val="28"/>
          <w:szCs w:val="28"/>
          <w:lang w:val="en-US"/>
        </w:rPr>
      </w:pPr>
      <w:r w:rsidRPr="00DA6003">
        <w:rPr>
          <w:rFonts w:ascii="Times New Roman" w:hAnsi="Times New Roman" w:cs="Times New Roman"/>
          <w:b/>
          <w:sz w:val="28"/>
          <w:szCs w:val="28"/>
          <w:lang w:val="en-US"/>
        </w:rPr>
        <w:t xml:space="preserve">Key words: </w:t>
      </w:r>
      <w:r w:rsidRPr="00DA6003">
        <w:rPr>
          <w:rFonts w:ascii="Times New Roman" w:hAnsi="Times New Roman" w:cs="Times New Roman"/>
          <w:sz w:val="28"/>
          <w:szCs w:val="28"/>
          <w:lang w:val="en-US"/>
        </w:rPr>
        <w:t>Girolamo Savonarola, Holy Bible, Ruth, preachers, «simplicity», good Christian, the indifferent (tiepidi).</w:t>
      </w:r>
    </w:p>
    <w:p w14:paraId="04945C21" w14:textId="23940652" w:rsidR="0052008D" w:rsidRDefault="0052008D">
      <w:pPr>
        <w:rPr>
          <w:lang w:val="en-US"/>
        </w:rPr>
      </w:pPr>
    </w:p>
    <w:p w14:paraId="57626CE0" w14:textId="77777777" w:rsidR="006F187B" w:rsidRDefault="006F187B" w:rsidP="006F187B">
      <w:pPr>
        <w:spacing w:line="360" w:lineRule="auto"/>
        <w:ind w:firstLine="709"/>
        <w:jc w:val="both"/>
        <w:rPr>
          <w:rFonts w:ascii="Times New Roman" w:hAnsi="Times New Roman" w:cs="Times New Roman"/>
          <w:b/>
          <w:bCs/>
          <w:sz w:val="28"/>
          <w:szCs w:val="28"/>
        </w:rPr>
      </w:pPr>
      <w:r w:rsidRPr="00AC5F0E">
        <w:rPr>
          <w:rFonts w:ascii="Times New Roman" w:hAnsi="Times New Roman" w:cs="Times New Roman"/>
          <w:b/>
          <w:bCs/>
          <w:sz w:val="28"/>
          <w:szCs w:val="28"/>
        </w:rPr>
        <w:t>УДК 94(47)“1919”</w:t>
      </w:r>
    </w:p>
    <w:p w14:paraId="75F7A3EA" w14:textId="77777777" w:rsidR="006F187B" w:rsidRPr="00092EC3" w:rsidRDefault="006F187B" w:rsidP="006F187B">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BF271B">
        <w:rPr>
          <w:rFonts w:ascii="Times New Roman" w:eastAsia="Calibri" w:hAnsi="Times New Roman" w:cs="Times New Roman"/>
          <w:b/>
          <w:bCs/>
          <w:sz w:val="28"/>
          <w:szCs w:val="28"/>
        </w:rPr>
        <w:t>10.37493/2409-1030.2022.4.11</w:t>
      </w:r>
    </w:p>
    <w:p w14:paraId="38584058" w14:textId="77777777" w:rsidR="006F187B" w:rsidRPr="00AC5F0E" w:rsidRDefault="006F187B" w:rsidP="006F187B">
      <w:pPr>
        <w:spacing w:line="360" w:lineRule="auto"/>
        <w:jc w:val="right"/>
        <w:rPr>
          <w:rFonts w:ascii="Times New Roman" w:hAnsi="Times New Roman" w:cs="Times New Roman"/>
          <w:b/>
          <w:sz w:val="28"/>
          <w:szCs w:val="28"/>
        </w:rPr>
      </w:pPr>
      <w:r w:rsidRPr="00AC5F0E">
        <w:rPr>
          <w:rFonts w:ascii="Times New Roman" w:hAnsi="Times New Roman" w:cs="Times New Roman"/>
          <w:b/>
          <w:sz w:val="28"/>
          <w:szCs w:val="28"/>
        </w:rPr>
        <w:t>А.А. Чемакин</w:t>
      </w:r>
    </w:p>
    <w:p w14:paraId="2CA93F05" w14:textId="77777777" w:rsidR="006F187B" w:rsidRPr="00AC5F0E" w:rsidRDefault="006F187B" w:rsidP="006F187B">
      <w:pPr>
        <w:spacing w:line="360" w:lineRule="auto"/>
        <w:jc w:val="center"/>
        <w:rPr>
          <w:rFonts w:ascii="Times New Roman" w:hAnsi="Times New Roman" w:cs="Times New Roman"/>
          <w:b/>
          <w:sz w:val="28"/>
          <w:szCs w:val="28"/>
        </w:rPr>
      </w:pPr>
      <w:r w:rsidRPr="00AC5F0E">
        <w:rPr>
          <w:rFonts w:ascii="Times New Roman" w:hAnsi="Times New Roman" w:cs="Times New Roman"/>
          <w:b/>
          <w:sz w:val="28"/>
          <w:szCs w:val="28"/>
        </w:rPr>
        <w:t>ИЗБИРАТЕЛЬНЫЕ КАМПАНИИ В СТАВРОПОЛЬСКУЮ ГОРОДСКУЮ ДУМУ В СЕНТЯБРЕ – НОЯБРЕ 1919 г.</w:t>
      </w:r>
      <w:r w:rsidRPr="00AC5F0E">
        <w:rPr>
          <w:rStyle w:val="a5"/>
          <w:rFonts w:ascii="Times New Roman" w:hAnsi="Times New Roman" w:cs="Times New Roman"/>
          <w:b/>
          <w:sz w:val="28"/>
          <w:szCs w:val="28"/>
        </w:rPr>
        <w:footnoteReference w:id="7"/>
      </w:r>
    </w:p>
    <w:p w14:paraId="73E36E7E" w14:textId="77777777" w:rsidR="006F187B" w:rsidRPr="00AC5F0E" w:rsidRDefault="006F187B" w:rsidP="006F187B">
      <w:pPr>
        <w:spacing w:line="360" w:lineRule="auto"/>
        <w:ind w:firstLine="709"/>
        <w:jc w:val="both"/>
        <w:rPr>
          <w:rFonts w:ascii="Times New Roman" w:hAnsi="Times New Roman" w:cs="Times New Roman"/>
          <w:bCs/>
          <w:sz w:val="28"/>
          <w:szCs w:val="28"/>
        </w:rPr>
      </w:pPr>
      <w:r w:rsidRPr="00AC5F0E">
        <w:rPr>
          <w:rFonts w:ascii="Times New Roman" w:hAnsi="Times New Roman" w:cs="Times New Roman"/>
          <w:bCs/>
          <w:sz w:val="28"/>
          <w:szCs w:val="28"/>
        </w:rPr>
        <w:t xml:space="preserve">Статья посвящена выборам в городскую думу Ставрополя, состоявшимся осенью 1919 г. В это время город находился под контролем Вооруженных сил на Юге России, и местная белая военная администрация, желая получить лояльную думу, активно вмешивалась в избирательный процесс и делала ставку на умеренные и правые политические силы, выдвинувшие сразу несколько кандидатских списков (районных </w:t>
      </w:r>
      <w:r w:rsidRPr="00AC5F0E">
        <w:rPr>
          <w:rFonts w:ascii="Times New Roman" w:hAnsi="Times New Roman" w:cs="Times New Roman"/>
          <w:bCs/>
          <w:sz w:val="28"/>
          <w:szCs w:val="28"/>
        </w:rPr>
        <w:lastRenderedPageBreak/>
        <w:t>попечительств, мещанский и домовладельческий). Основным оппонентом властей был социалистический блок, объединивший эсеров, меньшевиков и ряд общественных организаций. Промежуточное положение между властью и оппозицией занимал список «прогрессивных избирателей». На выборах, прошедших 15 сентября, победили социалисты, но окружной суд отменил итоги голосования, ссылаясь на формальные нарушения при подаче кандидатских списков. Нельзя исключать, что эти нарушения были допущены избирательной комиссией сознательно на тот случай, если победу одержат левые. Повторные выборы были назначены на 10 ноября. Представители несоциалистических сил, не желая повторения ошибок первых выборов, объединились в блок, который в итоге победил социалистов и получил большинство мест в городской думе. В ходе обеих избирательных кампании социалисты обвиняли власти во вмешательстве в выборный процесс и даже высказывали подозрения, что итоги голосования сфальсифицированы, хотя прямых доказательств последнего утверждения нет.  Правые и умеренные силы, в свою очередь, обвиняли социалистов в демагогии, разжигании классовой борьбы и натравливании «пролетариев» на «буржуев». Несмотря на бурное обсуждение выборов в прессе, жители Ставрополя остались безучастными к ним, о чем свидетельствует крайне низкая явка. Ставропольские избирательные кампании осени 1919 г. стали самыми скандальными за все время проведения муниципальных выборов на территориях, контролируемых южнорусским Белым движением. В статье подробно описывается ход обеих кампаний, даются характеристики избирательных списков, приводятся итоги голосования, в том числе по районам города, и примеры агитационных материалов.</w:t>
      </w:r>
    </w:p>
    <w:p w14:paraId="7712C325" w14:textId="77777777" w:rsidR="006F187B" w:rsidRDefault="006F187B" w:rsidP="006F187B">
      <w:pPr>
        <w:spacing w:line="360" w:lineRule="auto"/>
        <w:ind w:firstLine="709"/>
        <w:jc w:val="both"/>
        <w:rPr>
          <w:rFonts w:ascii="Times New Roman" w:hAnsi="Times New Roman" w:cs="Times New Roman"/>
          <w:bCs/>
          <w:sz w:val="28"/>
          <w:szCs w:val="28"/>
        </w:rPr>
      </w:pPr>
      <w:r w:rsidRPr="00AC5F0E">
        <w:rPr>
          <w:rFonts w:ascii="Times New Roman" w:hAnsi="Times New Roman" w:cs="Times New Roman"/>
          <w:b/>
          <w:sz w:val="28"/>
          <w:szCs w:val="28"/>
        </w:rPr>
        <w:t xml:space="preserve">Ключевые слова: </w:t>
      </w:r>
      <w:r w:rsidRPr="00AC5F0E">
        <w:rPr>
          <w:rFonts w:ascii="Times New Roman" w:hAnsi="Times New Roman" w:cs="Times New Roman"/>
          <w:bCs/>
          <w:sz w:val="28"/>
          <w:szCs w:val="28"/>
        </w:rPr>
        <w:t>выборы, городская дума, Ставрополь, Белое движение, Гражданская война, социалисты, правые.</w:t>
      </w:r>
    </w:p>
    <w:p w14:paraId="02259482" w14:textId="77777777" w:rsidR="006F187B" w:rsidRPr="00AC5F0E" w:rsidRDefault="006F187B" w:rsidP="006F187B">
      <w:pPr>
        <w:spacing w:line="360" w:lineRule="auto"/>
        <w:jc w:val="right"/>
        <w:rPr>
          <w:rFonts w:ascii="Times New Roman" w:hAnsi="Times New Roman" w:cs="Times New Roman"/>
          <w:b/>
          <w:sz w:val="28"/>
          <w:szCs w:val="28"/>
          <w:lang w:val="en-US"/>
        </w:rPr>
      </w:pPr>
      <w:r w:rsidRPr="00AC5F0E">
        <w:rPr>
          <w:rFonts w:ascii="Times New Roman" w:hAnsi="Times New Roman" w:cs="Times New Roman"/>
          <w:b/>
          <w:sz w:val="28"/>
          <w:szCs w:val="28"/>
          <w:lang w:val="en-US"/>
        </w:rPr>
        <w:t>Anton</w:t>
      </w:r>
      <w:r w:rsidRPr="001B0F49">
        <w:rPr>
          <w:rFonts w:ascii="Times New Roman" w:hAnsi="Times New Roman" w:cs="Times New Roman"/>
          <w:b/>
          <w:sz w:val="28"/>
          <w:szCs w:val="28"/>
          <w:lang w:val="en-US"/>
        </w:rPr>
        <w:t xml:space="preserve"> </w:t>
      </w:r>
      <w:r w:rsidRPr="00AC5F0E">
        <w:rPr>
          <w:rFonts w:ascii="Times New Roman" w:hAnsi="Times New Roman" w:cs="Times New Roman"/>
          <w:b/>
          <w:sz w:val="28"/>
          <w:szCs w:val="28"/>
        </w:rPr>
        <w:t>А</w:t>
      </w:r>
      <w:r w:rsidRPr="001B0F49">
        <w:rPr>
          <w:rFonts w:ascii="Times New Roman" w:hAnsi="Times New Roman" w:cs="Times New Roman"/>
          <w:b/>
          <w:sz w:val="28"/>
          <w:szCs w:val="28"/>
          <w:lang w:val="en-US"/>
        </w:rPr>
        <w:t>.</w:t>
      </w:r>
      <w:r w:rsidRPr="00AC5F0E">
        <w:rPr>
          <w:rFonts w:ascii="Times New Roman" w:hAnsi="Times New Roman" w:cs="Times New Roman"/>
          <w:b/>
          <w:sz w:val="28"/>
          <w:szCs w:val="28"/>
          <w:lang w:val="en-US"/>
        </w:rPr>
        <w:t xml:space="preserve"> Chemakin</w:t>
      </w:r>
    </w:p>
    <w:p w14:paraId="76BEF4DF" w14:textId="77777777" w:rsidR="006F187B" w:rsidRPr="00AC5F0E" w:rsidRDefault="006F187B" w:rsidP="006F187B">
      <w:pPr>
        <w:spacing w:line="240" w:lineRule="auto"/>
        <w:jc w:val="center"/>
        <w:rPr>
          <w:rFonts w:ascii="Times New Roman" w:hAnsi="Times New Roman" w:cs="Times New Roman"/>
          <w:b/>
          <w:sz w:val="28"/>
          <w:szCs w:val="28"/>
          <w:lang w:val="en-US"/>
        </w:rPr>
      </w:pPr>
      <w:r w:rsidRPr="00AC5F0E">
        <w:rPr>
          <w:rFonts w:ascii="Times New Roman" w:hAnsi="Times New Roman" w:cs="Times New Roman"/>
          <w:b/>
          <w:sz w:val="28"/>
          <w:szCs w:val="28"/>
          <w:lang w:val="en-US"/>
        </w:rPr>
        <w:t>ELECTION CAMPAIGNS TO STAVROPOL CITY DUMA</w:t>
      </w:r>
    </w:p>
    <w:p w14:paraId="16C51151" w14:textId="77777777" w:rsidR="006F187B" w:rsidRPr="00AC5F0E" w:rsidRDefault="006F187B" w:rsidP="006F187B">
      <w:pPr>
        <w:spacing w:line="240" w:lineRule="auto"/>
        <w:jc w:val="center"/>
        <w:rPr>
          <w:rFonts w:ascii="Times New Roman" w:hAnsi="Times New Roman" w:cs="Times New Roman"/>
          <w:b/>
          <w:sz w:val="28"/>
          <w:szCs w:val="28"/>
          <w:lang w:val="en-US"/>
        </w:rPr>
      </w:pPr>
      <w:r w:rsidRPr="00AC5F0E">
        <w:rPr>
          <w:rFonts w:ascii="Times New Roman" w:hAnsi="Times New Roman" w:cs="Times New Roman"/>
          <w:b/>
          <w:sz w:val="28"/>
          <w:szCs w:val="28"/>
          <w:lang w:val="en-US"/>
        </w:rPr>
        <w:lastRenderedPageBreak/>
        <w:t>IN SEPTEMBER – NOVEMBER 1919</w:t>
      </w:r>
      <w:r>
        <w:rPr>
          <w:rStyle w:val="a5"/>
          <w:rFonts w:ascii="Times New Roman" w:hAnsi="Times New Roman" w:cs="Times New Roman"/>
          <w:b/>
          <w:sz w:val="28"/>
          <w:szCs w:val="28"/>
          <w:lang w:val="en-US"/>
        </w:rPr>
        <w:footnoteReference w:id="8"/>
      </w:r>
    </w:p>
    <w:p w14:paraId="21361609" w14:textId="77777777" w:rsidR="006F187B" w:rsidRPr="00AC5F0E" w:rsidRDefault="006F187B" w:rsidP="006F187B">
      <w:pPr>
        <w:spacing w:line="360" w:lineRule="auto"/>
        <w:ind w:firstLine="709"/>
        <w:jc w:val="both"/>
        <w:rPr>
          <w:rFonts w:ascii="Times New Roman" w:hAnsi="Times New Roman" w:cs="Times New Roman"/>
          <w:bCs/>
          <w:sz w:val="28"/>
          <w:szCs w:val="28"/>
          <w:lang w:val="en-US"/>
        </w:rPr>
      </w:pPr>
      <w:r w:rsidRPr="00AC5F0E">
        <w:rPr>
          <w:rFonts w:ascii="Times New Roman" w:hAnsi="Times New Roman" w:cs="Times New Roman"/>
          <w:bCs/>
          <w:sz w:val="28"/>
          <w:szCs w:val="28"/>
          <w:lang w:val="en-US"/>
        </w:rPr>
        <w:t>The article deals with elections to the Stavropol City Duma in autumn 1919. In that time the city was under control of Armed Forces of South Russia and the local White military administration working for a loyal Duma actively meddled in the race and put on moderate and right-wing political forces which put forward straightway several lists of candidates (neighborhood guardianships, burghers and house owners). A main opponent of authorities was a socialist block consolidating Socialist-Revolutionaries, Mensheviks and a number of public organizations. The list of “progressive voters” was in between. Elections on the 15th of September were won by socialists, but the district court invalidated the voting returns on the pretext of technical infraction in presentation of the candidate lists. It cannot be excluded that this infringement was made by the electoral commission deliberately in the event leftists would win the elections. The repeat election was scheduled on November 10. Representatives of non-socialist forces in order to avoid errors made during the first election merged into a single bloc that eventually won and got the majority of seats. During both election campaigns, socialists put the blame on authorities for intervention in the election process and even expressed suspicion that the returns were falsified though there was no direct proofs of the last assumption. In their turn, right-wing and moderate forces charged socialists with demagogy, stirring of class struggle and setting “proletarians” on “bourgeois”. In spite of stormy discussion in press, residents of Stavropol remained unconcerned as evidenced by a very low turnout. Stavropol election campaigns in autumn 1919 were the most scandalous for the whole period of municipal elections on territories controlled by the South Russian White movement. The article goes into details of the course of both campaigns, characterizes electoral lists, presents voting returns, including by city districts, and examples of propaganda materials.</w:t>
      </w:r>
    </w:p>
    <w:p w14:paraId="32F8274B" w14:textId="77777777" w:rsidR="006F187B" w:rsidRPr="00AC5F0E" w:rsidRDefault="006F187B" w:rsidP="006F187B">
      <w:pPr>
        <w:spacing w:line="360" w:lineRule="auto"/>
        <w:ind w:firstLine="709"/>
        <w:jc w:val="both"/>
        <w:rPr>
          <w:rFonts w:ascii="Times New Roman" w:hAnsi="Times New Roman" w:cs="Times New Roman"/>
          <w:bCs/>
          <w:sz w:val="28"/>
          <w:szCs w:val="28"/>
          <w:lang w:val="en-US"/>
        </w:rPr>
      </w:pPr>
      <w:r w:rsidRPr="00AC5F0E">
        <w:rPr>
          <w:rFonts w:ascii="Times New Roman" w:hAnsi="Times New Roman" w:cs="Times New Roman"/>
          <w:b/>
          <w:sz w:val="28"/>
          <w:szCs w:val="28"/>
          <w:lang w:val="en-US"/>
        </w:rPr>
        <w:lastRenderedPageBreak/>
        <w:t>Key words:</w:t>
      </w:r>
      <w:r w:rsidRPr="00AC5F0E">
        <w:rPr>
          <w:rFonts w:ascii="Times New Roman" w:hAnsi="Times New Roman" w:cs="Times New Roman"/>
          <w:bCs/>
          <w:sz w:val="28"/>
          <w:szCs w:val="28"/>
          <w:lang w:val="en-US"/>
        </w:rPr>
        <w:t xml:space="preserve"> elections, City Duma, Stavropol, White Movement, Civil War, socialists, rightists.</w:t>
      </w:r>
    </w:p>
    <w:p w14:paraId="3E829146" w14:textId="77777777" w:rsidR="00C719B9" w:rsidRPr="007A0874" w:rsidRDefault="00C719B9" w:rsidP="00C719B9">
      <w:pPr>
        <w:spacing w:after="0" w:line="360" w:lineRule="auto"/>
        <w:ind w:right="283"/>
        <w:jc w:val="both"/>
        <w:rPr>
          <w:rFonts w:ascii="Times New Roman" w:eastAsia="Times New Roman" w:hAnsi="Times New Roman" w:cs="Times New Roman"/>
          <w:b/>
          <w:bCs/>
          <w:sz w:val="28"/>
          <w:szCs w:val="28"/>
          <w:lang w:eastAsia="ru-RU"/>
        </w:rPr>
      </w:pPr>
      <w:r w:rsidRPr="007A0874">
        <w:rPr>
          <w:rFonts w:ascii="Times New Roman" w:eastAsia="Times New Roman" w:hAnsi="Times New Roman" w:cs="Times New Roman"/>
          <w:b/>
          <w:bCs/>
          <w:sz w:val="28"/>
          <w:szCs w:val="28"/>
          <w:lang w:eastAsia="ru-RU"/>
        </w:rPr>
        <w:t>УДК 94 (479) “18”</w:t>
      </w:r>
    </w:p>
    <w:p w14:paraId="320C052B" w14:textId="77777777" w:rsidR="00C719B9" w:rsidRPr="00092EC3" w:rsidRDefault="00C719B9" w:rsidP="00C719B9">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9C0A0B">
        <w:rPr>
          <w:rFonts w:ascii="Times New Roman" w:eastAsia="Calibri" w:hAnsi="Times New Roman" w:cs="Times New Roman"/>
          <w:b/>
          <w:bCs/>
          <w:sz w:val="28"/>
          <w:szCs w:val="28"/>
        </w:rPr>
        <w:t>10.37493/2409-1030.2022.4.12</w:t>
      </w:r>
    </w:p>
    <w:p w14:paraId="122F1B31" w14:textId="77777777" w:rsidR="00C719B9" w:rsidRPr="007A0874" w:rsidRDefault="00C719B9" w:rsidP="00C719B9">
      <w:pPr>
        <w:spacing w:after="0" w:line="360" w:lineRule="auto"/>
        <w:ind w:right="283" w:firstLine="709"/>
        <w:jc w:val="right"/>
        <w:rPr>
          <w:rFonts w:ascii="Times New Roman" w:eastAsia="Times New Roman" w:hAnsi="Times New Roman" w:cs="Times New Roman"/>
          <w:b/>
          <w:sz w:val="28"/>
          <w:szCs w:val="28"/>
          <w:lang w:eastAsia="ru-RU"/>
        </w:rPr>
      </w:pPr>
      <w:r w:rsidRPr="007A0874">
        <w:rPr>
          <w:rFonts w:ascii="Times New Roman" w:eastAsia="Times New Roman" w:hAnsi="Times New Roman" w:cs="Times New Roman"/>
          <w:b/>
          <w:sz w:val="28"/>
          <w:szCs w:val="28"/>
          <w:lang w:eastAsia="ru-RU"/>
        </w:rPr>
        <w:t>В. А. Шкерин</w:t>
      </w:r>
    </w:p>
    <w:p w14:paraId="3432CEBD" w14:textId="77777777" w:rsidR="00C719B9" w:rsidRPr="007A0874" w:rsidRDefault="00C719B9" w:rsidP="00C719B9">
      <w:pPr>
        <w:spacing w:after="0" w:line="360" w:lineRule="auto"/>
        <w:ind w:right="283" w:firstLine="709"/>
        <w:jc w:val="center"/>
        <w:rPr>
          <w:rFonts w:ascii="Times New Roman" w:eastAsia="Times New Roman" w:hAnsi="Times New Roman" w:cs="Times New Roman"/>
          <w:b/>
          <w:caps/>
          <w:sz w:val="28"/>
          <w:szCs w:val="28"/>
          <w:lang w:eastAsia="ru-RU"/>
        </w:rPr>
      </w:pPr>
      <w:r w:rsidRPr="007A0874">
        <w:rPr>
          <w:rFonts w:ascii="Times New Roman" w:eastAsia="Times New Roman" w:hAnsi="Times New Roman" w:cs="Times New Roman"/>
          <w:b/>
          <w:caps/>
          <w:sz w:val="28"/>
          <w:szCs w:val="28"/>
          <w:lang w:eastAsia="ru-RU"/>
        </w:rPr>
        <w:t>«Осмотреть весь полуденный Восток России»:</w:t>
      </w:r>
    </w:p>
    <w:p w14:paraId="1C31FB62" w14:textId="77777777" w:rsidR="00C719B9" w:rsidRPr="007A0874" w:rsidRDefault="00C719B9" w:rsidP="00C719B9">
      <w:pPr>
        <w:spacing w:after="0" w:line="360" w:lineRule="auto"/>
        <w:ind w:right="283" w:firstLine="709"/>
        <w:jc w:val="center"/>
        <w:rPr>
          <w:rFonts w:ascii="Times New Roman" w:eastAsia="Times New Roman" w:hAnsi="Times New Roman" w:cs="Times New Roman"/>
          <w:b/>
          <w:caps/>
          <w:sz w:val="28"/>
          <w:szCs w:val="28"/>
          <w:lang w:eastAsia="ru-RU"/>
        </w:rPr>
      </w:pPr>
      <w:r w:rsidRPr="007A0874">
        <w:rPr>
          <w:rFonts w:ascii="Times New Roman" w:eastAsia="Times New Roman" w:hAnsi="Times New Roman" w:cs="Times New Roman"/>
          <w:b/>
          <w:caps/>
          <w:sz w:val="28"/>
          <w:szCs w:val="28"/>
          <w:lang w:eastAsia="ru-RU"/>
        </w:rPr>
        <w:t>кавказские травелоги Степана Нечаева</w:t>
      </w:r>
    </w:p>
    <w:p w14:paraId="4485A675" w14:textId="77777777" w:rsidR="00C719B9" w:rsidRPr="007A0874" w:rsidRDefault="00C719B9" w:rsidP="00C719B9">
      <w:pPr>
        <w:spacing w:after="0" w:line="360" w:lineRule="auto"/>
        <w:ind w:right="283" w:firstLine="709"/>
        <w:jc w:val="both"/>
        <w:rPr>
          <w:rFonts w:ascii="Times New Roman" w:eastAsia="Times New Roman" w:hAnsi="Times New Roman" w:cs="Times New Roman"/>
          <w:sz w:val="28"/>
          <w:szCs w:val="28"/>
          <w:lang w:eastAsia="ru-RU"/>
        </w:rPr>
      </w:pPr>
      <w:r w:rsidRPr="007A0874">
        <w:rPr>
          <w:rFonts w:ascii="Times New Roman" w:eastAsia="Times New Roman" w:hAnsi="Times New Roman" w:cs="Times New Roman"/>
          <w:sz w:val="28"/>
          <w:szCs w:val="28"/>
          <w:lang w:eastAsia="ru-RU"/>
        </w:rPr>
        <w:t xml:space="preserve">Степан Дмитриевич Нечаев – поэт и прозаик первой четверти </w:t>
      </w:r>
      <w:r w:rsidRPr="007A0874">
        <w:rPr>
          <w:rFonts w:ascii="Times New Roman" w:eastAsia="Times New Roman" w:hAnsi="Times New Roman" w:cs="Times New Roman"/>
          <w:sz w:val="28"/>
          <w:szCs w:val="28"/>
          <w:lang w:val="en-US" w:eastAsia="ru-RU"/>
        </w:rPr>
        <w:t>XIX</w:t>
      </w:r>
      <w:r w:rsidRPr="007A0874">
        <w:rPr>
          <w:rFonts w:ascii="Times New Roman" w:eastAsia="Times New Roman" w:hAnsi="Times New Roman" w:cs="Times New Roman"/>
          <w:sz w:val="28"/>
          <w:szCs w:val="28"/>
          <w:lang w:eastAsia="ru-RU"/>
        </w:rPr>
        <w:t xml:space="preserve"> в., известный не столько литературными произведениями, сколько своими литературными связями. Он дружил с А. А. Бестужевым (Марлинским), был знаком с К. Ф. Рылеевым, В. К. Кюхельбекером, Д. В. Давыдовым, Н. А. Полевым, печатался в альманахах «Полярная звезда», «Мнемозина», «Урания», в журналах «Вестник Европы», «Московский телеграф», «Благонамеренный», «Дамский журнал». В 1823 г. С. Д. Нечаев предпринял большую поездку по Кавказу для этнографического изучения и литературного описания малознакомого края. Результатом этой поездки стали два литературных травелога – большое стихотворение «Воспоминания» и прозаические «Отрывки из путевых записок о Юго-Восточной России». Большую часть времени автор-путешественник провел на Горячих Водах (будущем Пятигорске) и в Кисловодске. Однако весь кавказский маршрут получился гораздо длиннее: через Старочеркасск, Ставрополь и Георгиевск на Кавказские Воды и обратно – через Георгиевск, Моздок и Кизляр на Астрахань и далее вверх по Волге. Во время этого вояжа С. Д. Нечаев имел ряд важных встреч. Состоявший при генерале А. П. Ермолове чиновник и литератор В. Ф. Тимковский, возможно, открыл Нечаеву тайные замыслы окружения «проконсула Кавказа». Кабардинский просветитель Ш. Б. Ногмов познакомил его с культурой и бытом своего народа. Опальный офицер и будущий участник восстания на Сенатской площади А. И. Якубович стал другом Нечаева и героем одного из его стихотворений. Кавказские травелоги Нечаева были опубликованы в 1825–</w:t>
      </w:r>
      <w:r w:rsidRPr="007A0874">
        <w:rPr>
          <w:rFonts w:ascii="Times New Roman" w:eastAsia="Times New Roman" w:hAnsi="Times New Roman" w:cs="Times New Roman"/>
          <w:sz w:val="28"/>
          <w:szCs w:val="28"/>
          <w:lang w:eastAsia="ru-RU"/>
        </w:rPr>
        <w:lastRenderedPageBreak/>
        <w:t>1826 гг., оказавшись одними из последних прижизненных публикаций этого автора. После разгрома восстания декабристов, в числе которых были друзья и знакомые Нечаева (К. Рылеев, А. Бестужев, В. Кюхельбекер, А. Якубович), он также оказался под подозрением. Большой вины за Нечаевым найдено не было, но от своей мечты о литературной славе он предпочел отказаться.</w:t>
      </w:r>
    </w:p>
    <w:p w14:paraId="564FB7C3" w14:textId="77777777" w:rsidR="00C719B9" w:rsidRDefault="00C719B9" w:rsidP="00C719B9">
      <w:pPr>
        <w:spacing w:after="0" w:line="360" w:lineRule="auto"/>
        <w:ind w:right="283" w:firstLine="709"/>
        <w:jc w:val="both"/>
        <w:rPr>
          <w:rFonts w:ascii="Times New Roman" w:eastAsia="Times New Roman" w:hAnsi="Times New Roman" w:cs="Times New Roman"/>
          <w:sz w:val="28"/>
          <w:szCs w:val="28"/>
          <w:lang w:eastAsia="ru-RU"/>
        </w:rPr>
      </w:pPr>
      <w:r w:rsidRPr="007A0874">
        <w:rPr>
          <w:rFonts w:ascii="Times New Roman" w:eastAsia="Times New Roman" w:hAnsi="Times New Roman" w:cs="Times New Roman"/>
          <w:b/>
          <w:sz w:val="28"/>
          <w:szCs w:val="28"/>
          <w:lang w:eastAsia="ru-RU"/>
        </w:rPr>
        <w:t xml:space="preserve">Ключевые слова: </w:t>
      </w:r>
      <w:r w:rsidRPr="007A0874">
        <w:rPr>
          <w:rFonts w:ascii="Times New Roman" w:eastAsia="Times New Roman" w:hAnsi="Times New Roman" w:cs="Times New Roman"/>
          <w:sz w:val="28"/>
          <w:szCs w:val="28"/>
          <w:lang w:eastAsia="ru-RU"/>
        </w:rPr>
        <w:t xml:space="preserve">кавказский травелог, Кавказские Минеральные Воды, русская литература, движение декабристов, С. Д. Нечаев, первая четверть </w:t>
      </w:r>
      <w:r w:rsidRPr="007A0874">
        <w:rPr>
          <w:rFonts w:ascii="Times New Roman" w:eastAsia="Times New Roman" w:hAnsi="Times New Roman" w:cs="Times New Roman"/>
          <w:sz w:val="28"/>
          <w:szCs w:val="28"/>
          <w:lang w:val="en-US" w:eastAsia="ru-RU"/>
        </w:rPr>
        <w:t>XIX</w:t>
      </w:r>
      <w:r w:rsidRPr="007A0874">
        <w:rPr>
          <w:rFonts w:ascii="Times New Roman" w:eastAsia="Times New Roman" w:hAnsi="Times New Roman" w:cs="Times New Roman"/>
          <w:sz w:val="28"/>
          <w:szCs w:val="28"/>
          <w:lang w:eastAsia="ru-RU"/>
        </w:rPr>
        <w:t xml:space="preserve"> в.</w:t>
      </w:r>
    </w:p>
    <w:p w14:paraId="5E79ED24" w14:textId="77777777" w:rsidR="00C719B9" w:rsidRPr="00B163B3" w:rsidRDefault="00C719B9" w:rsidP="00C719B9">
      <w:pPr>
        <w:spacing w:after="0" w:line="360" w:lineRule="auto"/>
        <w:ind w:right="283" w:firstLine="709"/>
        <w:jc w:val="right"/>
        <w:rPr>
          <w:rFonts w:ascii="Times New Roman" w:eastAsia="Times New Roman" w:hAnsi="Times New Roman" w:cs="Times New Roman"/>
          <w:b/>
          <w:sz w:val="28"/>
          <w:szCs w:val="28"/>
          <w:lang w:val="en-US" w:eastAsia="ru-RU"/>
        </w:rPr>
      </w:pPr>
      <w:r w:rsidRPr="007A0874">
        <w:rPr>
          <w:rFonts w:ascii="Times New Roman" w:eastAsia="Times New Roman" w:hAnsi="Times New Roman" w:cs="Times New Roman"/>
          <w:b/>
          <w:sz w:val="28"/>
          <w:szCs w:val="28"/>
          <w:lang w:val="en-US" w:eastAsia="ru-RU"/>
        </w:rPr>
        <w:t>Vladimir</w:t>
      </w:r>
      <w:r w:rsidRPr="00B163B3">
        <w:rPr>
          <w:rFonts w:ascii="Times New Roman" w:eastAsia="Times New Roman" w:hAnsi="Times New Roman" w:cs="Times New Roman"/>
          <w:b/>
          <w:sz w:val="28"/>
          <w:szCs w:val="28"/>
          <w:lang w:val="en-US" w:eastAsia="ru-RU"/>
        </w:rPr>
        <w:t xml:space="preserve"> </w:t>
      </w:r>
      <w:r w:rsidRPr="007A0874">
        <w:rPr>
          <w:rFonts w:ascii="Times New Roman" w:eastAsia="Times New Roman" w:hAnsi="Times New Roman" w:cs="Times New Roman"/>
          <w:b/>
          <w:sz w:val="28"/>
          <w:szCs w:val="28"/>
          <w:lang w:val="en-US" w:eastAsia="ru-RU"/>
        </w:rPr>
        <w:t>A</w:t>
      </w:r>
      <w:r w:rsidRPr="00B163B3">
        <w:rPr>
          <w:rFonts w:ascii="Times New Roman" w:eastAsia="Times New Roman" w:hAnsi="Times New Roman" w:cs="Times New Roman"/>
          <w:b/>
          <w:sz w:val="28"/>
          <w:szCs w:val="28"/>
          <w:lang w:val="en-US" w:eastAsia="ru-RU"/>
        </w:rPr>
        <w:t xml:space="preserve">. </w:t>
      </w:r>
      <w:r w:rsidRPr="007A0874">
        <w:rPr>
          <w:rFonts w:ascii="Times New Roman" w:eastAsia="Times New Roman" w:hAnsi="Times New Roman" w:cs="Times New Roman"/>
          <w:b/>
          <w:sz w:val="28"/>
          <w:szCs w:val="28"/>
          <w:lang w:val="en-US" w:eastAsia="ru-RU"/>
        </w:rPr>
        <w:t>Shkerin</w:t>
      </w:r>
    </w:p>
    <w:p w14:paraId="068B7166" w14:textId="77777777" w:rsidR="00C719B9" w:rsidRPr="007A0874" w:rsidRDefault="00C719B9" w:rsidP="00C719B9">
      <w:pPr>
        <w:spacing w:after="0" w:line="360" w:lineRule="auto"/>
        <w:ind w:right="283" w:firstLine="709"/>
        <w:jc w:val="center"/>
        <w:rPr>
          <w:rFonts w:ascii="Times New Roman" w:eastAsia="Times New Roman" w:hAnsi="Times New Roman" w:cs="Times New Roman"/>
          <w:b/>
          <w:caps/>
          <w:sz w:val="28"/>
          <w:szCs w:val="28"/>
          <w:lang w:val="en-US" w:eastAsia="ru-RU"/>
        </w:rPr>
      </w:pPr>
      <w:r w:rsidRPr="007A0874">
        <w:rPr>
          <w:rFonts w:ascii="Times New Roman" w:eastAsia="Times New Roman" w:hAnsi="Times New Roman" w:cs="Times New Roman"/>
          <w:b/>
          <w:caps/>
          <w:sz w:val="28"/>
          <w:szCs w:val="28"/>
          <w:lang w:val="en-US" w:eastAsia="ru-RU"/>
        </w:rPr>
        <w:t>“Explore the entire South East of Russia”:</w:t>
      </w:r>
    </w:p>
    <w:p w14:paraId="2E89F813" w14:textId="77777777" w:rsidR="00C719B9" w:rsidRPr="007A0874" w:rsidRDefault="00C719B9" w:rsidP="00C719B9">
      <w:pPr>
        <w:spacing w:after="0" w:line="360" w:lineRule="auto"/>
        <w:ind w:right="283" w:firstLine="709"/>
        <w:jc w:val="center"/>
        <w:rPr>
          <w:rFonts w:ascii="Times New Roman" w:eastAsia="Times New Roman" w:hAnsi="Times New Roman" w:cs="Times New Roman"/>
          <w:b/>
          <w:caps/>
          <w:sz w:val="28"/>
          <w:szCs w:val="28"/>
          <w:lang w:val="en-US" w:eastAsia="ru-RU"/>
        </w:rPr>
      </w:pPr>
      <w:r w:rsidRPr="007A0874">
        <w:rPr>
          <w:rFonts w:ascii="Times New Roman" w:eastAsia="Times New Roman" w:hAnsi="Times New Roman" w:cs="Times New Roman"/>
          <w:b/>
          <w:caps/>
          <w:sz w:val="28"/>
          <w:szCs w:val="28"/>
          <w:lang w:val="en-US" w:eastAsia="ru-RU"/>
        </w:rPr>
        <w:t>Caucasian travelogues by Stepan Nechaev</w:t>
      </w:r>
    </w:p>
    <w:p w14:paraId="7DFEB635" w14:textId="77777777" w:rsidR="00C719B9" w:rsidRPr="007A0874" w:rsidRDefault="00C719B9" w:rsidP="00C719B9">
      <w:pPr>
        <w:spacing w:after="0" w:line="360" w:lineRule="auto"/>
        <w:ind w:firstLine="709"/>
        <w:jc w:val="both"/>
        <w:rPr>
          <w:rFonts w:ascii="Times New Roman" w:eastAsia="Times New Roman" w:hAnsi="Times New Roman" w:cs="Times New Roman"/>
          <w:sz w:val="28"/>
          <w:szCs w:val="28"/>
          <w:lang w:val="en-US" w:eastAsia="ru-RU"/>
        </w:rPr>
      </w:pPr>
      <w:r w:rsidRPr="007A0874">
        <w:rPr>
          <w:rFonts w:ascii="Times New Roman" w:eastAsia="Calibri" w:hAnsi="Times New Roman" w:cs="Times New Roman"/>
          <w:sz w:val="28"/>
          <w:szCs w:val="28"/>
          <w:lang w:val="en-US" w:eastAsia="ru-RU"/>
        </w:rPr>
        <w:t>Stepan D. Nechaev is a poet and prose writer of the first quarter of the 19th century, who is known not so much for his literary works as for his literary connections.</w:t>
      </w:r>
      <w:r w:rsidRPr="007A0874">
        <w:rPr>
          <w:rFonts w:ascii="Times New Roman" w:eastAsia="Times New Roman" w:hAnsi="Times New Roman" w:cs="Times New Roman"/>
          <w:sz w:val="28"/>
          <w:szCs w:val="28"/>
          <w:lang w:val="en-US" w:eastAsia="ru-RU"/>
        </w:rPr>
        <w:t xml:space="preserve"> </w:t>
      </w:r>
      <w:r w:rsidRPr="007A0874">
        <w:rPr>
          <w:rFonts w:ascii="Times New Roman" w:eastAsia="Calibri" w:hAnsi="Times New Roman" w:cs="Times New Roman"/>
          <w:sz w:val="28"/>
          <w:szCs w:val="28"/>
          <w:lang w:val="en-US" w:eastAsia="ru-RU"/>
        </w:rPr>
        <w:t xml:space="preserve">He was friends with A. Bestuzhev (Marlinsky), was familiar with K. Ryleev, V. Kyuchelbeker, </w:t>
      </w:r>
      <w:r w:rsidRPr="007A0874">
        <w:rPr>
          <w:rFonts w:ascii="Times New Roman" w:eastAsia="Times New Roman" w:hAnsi="Times New Roman" w:cs="Times New Roman"/>
          <w:sz w:val="28"/>
          <w:szCs w:val="28"/>
          <w:lang w:val="en-US" w:eastAsia="ru-RU"/>
        </w:rPr>
        <w:t xml:space="preserve">D. Davydov, </w:t>
      </w:r>
      <w:r w:rsidRPr="007A0874">
        <w:rPr>
          <w:rFonts w:ascii="Times New Roman" w:eastAsia="Calibri" w:hAnsi="Times New Roman" w:cs="Times New Roman"/>
          <w:sz w:val="28"/>
          <w:szCs w:val="28"/>
          <w:lang w:val="en-US" w:eastAsia="ru-RU"/>
        </w:rPr>
        <w:t xml:space="preserve">N. Polevoy, published </w:t>
      </w:r>
      <w:r w:rsidRPr="007A0874">
        <w:rPr>
          <w:rFonts w:ascii="Times New Roman" w:eastAsia="Times New Roman" w:hAnsi="Times New Roman" w:cs="Times New Roman"/>
          <w:sz w:val="28"/>
          <w:szCs w:val="28"/>
          <w:lang w:val="en-US" w:eastAsia="ru-RU"/>
        </w:rPr>
        <w:t xml:space="preserve">in almanacs </w:t>
      </w:r>
      <w:r w:rsidRPr="007A0874">
        <w:rPr>
          <w:rFonts w:ascii="Times New Roman" w:eastAsia="Calibri" w:hAnsi="Times New Roman" w:cs="Times New Roman"/>
          <w:sz w:val="28"/>
          <w:szCs w:val="28"/>
          <w:lang w:val="en-US" w:eastAsia="ru-RU"/>
        </w:rPr>
        <w:t xml:space="preserve">“Polar Star”, </w:t>
      </w:r>
      <w:r w:rsidRPr="007A0874">
        <w:rPr>
          <w:rFonts w:ascii="Times New Roman" w:eastAsia="Times New Roman" w:hAnsi="Times New Roman" w:cs="Times New Roman"/>
          <w:sz w:val="28"/>
          <w:szCs w:val="28"/>
          <w:lang w:val="en-US" w:eastAsia="ru-RU"/>
        </w:rPr>
        <w:t>“Mnemosyne”, “Urania”</w:t>
      </w:r>
      <w:r w:rsidRPr="007A0874">
        <w:rPr>
          <w:rFonts w:ascii="Times New Roman" w:eastAsia="Calibri" w:hAnsi="Times New Roman" w:cs="Times New Roman"/>
          <w:sz w:val="28"/>
          <w:szCs w:val="28"/>
          <w:lang w:val="en-US" w:eastAsia="ru-RU"/>
        </w:rPr>
        <w:t>, in the journals “Herald of Europe”, “Moscow Telegraph”, “Well-intentioned”, “Ladies’ Magazine”.</w:t>
      </w:r>
      <w:r w:rsidRPr="007A0874">
        <w:rPr>
          <w:rFonts w:ascii="Times New Roman" w:eastAsia="Times New Roman" w:hAnsi="Times New Roman" w:cs="Times New Roman"/>
          <w:sz w:val="28"/>
          <w:szCs w:val="28"/>
          <w:lang w:val="en-US" w:eastAsia="ru-RU"/>
        </w:rPr>
        <w:t xml:space="preserve"> Nechaev undertook a long trip around the Caucasus for ethnographic study and literary description of an unfamiliar region in 1823. The result of this trip was two literary travelogues – a large poem “Memories” and prose “Excerpts from travel notes about South-Eastern Russia”. Most of the time the author-traveler spent on the Caucasian Mineral Waters – in Goryachevodsk (future Pyatigorsk) and Kislovodsk. However, the entire Caucasian route turned out to be much longer: through Starocherkassk, Stavropol and Georgievsk to the Caucasian waters and back – through Georgievsk, Mozdok and Kizlyar to Astrakhan and further up the Volga. During this voyage, Nechaev had a number of important meetings. The official and writer V. Timkovsky, who was under General A. Yermolov, may have revealed to Nechaev the secret plans of the environment of the “proconsul of the Caucasus”. The Kabardian educator Sh. Nogmov introduced him to the culture and way of life of his people. A disgraced </w:t>
      </w:r>
      <w:r w:rsidRPr="007A0874">
        <w:rPr>
          <w:rFonts w:ascii="Times New Roman" w:eastAsia="Times New Roman" w:hAnsi="Times New Roman" w:cs="Times New Roman"/>
          <w:sz w:val="28"/>
          <w:szCs w:val="28"/>
          <w:lang w:val="en-US" w:eastAsia="ru-RU"/>
        </w:rPr>
        <w:lastRenderedPageBreak/>
        <w:t>officer and future participant in the uprising on Senate Square A. Yakubovich became a friend of Nechaev and the hero of one of his poems. Nechaev’s Caucasian travelogues were published in 1825–1826, being one of the last lifetime publications of this author. After the defeat of the Decembrist uprising, among whom were friends and acquaintances of Nechaev (</w:t>
      </w:r>
      <w:r w:rsidRPr="007A0874">
        <w:rPr>
          <w:rFonts w:ascii="Times New Roman" w:eastAsia="Calibri" w:hAnsi="Times New Roman" w:cs="Times New Roman"/>
          <w:sz w:val="28"/>
          <w:szCs w:val="28"/>
          <w:lang w:val="en-US" w:eastAsia="ru-RU"/>
        </w:rPr>
        <w:t>K. Ryleev, A. Bestuzhev, V. Kyuchelbeker,</w:t>
      </w:r>
      <w:r w:rsidRPr="007A0874">
        <w:rPr>
          <w:rFonts w:ascii="Times New Roman" w:eastAsia="Times New Roman" w:hAnsi="Times New Roman" w:cs="Times New Roman"/>
          <w:sz w:val="28"/>
          <w:szCs w:val="28"/>
          <w:lang w:val="en-US" w:eastAsia="ru-RU"/>
        </w:rPr>
        <w:t xml:space="preserve"> A. Yakubovich), he also came under suspicion. No great fault was found for Nechaev, but he preferred to give up his dream of literary glory.</w:t>
      </w:r>
    </w:p>
    <w:p w14:paraId="2FA11022" w14:textId="77777777" w:rsidR="00C719B9" w:rsidRPr="007A0874" w:rsidRDefault="00C719B9" w:rsidP="00C719B9">
      <w:pPr>
        <w:spacing w:after="0" w:line="360" w:lineRule="auto"/>
        <w:ind w:firstLine="709"/>
        <w:jc w:val="both"/>
        <w:rPr>
          <w:rFonts w:ascii="Times New Roman" w:eastAsia="Times New Roman" w:hAnsi="Times New Roman" w:cs="Times New Roman"/>
          <w:sz w:val="28"/>
          <w:szCs w:val="28"/>
          <w:lang w:val="en-US" w:eastAsia="ru-RU"/>
        </w:rPr>
      </w:pPr>
      <w:r w:rsidRPr="007A0874">
        <w:rPr>
          <w:rFonts w:ascii="Times New Roman" w:eastAsia="Times New Roman" w:hAnsi="Times New Roman" w:cs="Times New Roman"/>
          <w:b/>
          <w:sz w:val="28"/>
          <w:szCs w:val="28"/>
          <w:lang w:val="en-US" w:eastAsia="ru-RU"/>
        </w:rPr>
        <w:t>Key words:</w:t>
      </w:r>
      <w:r w:rsidRPr="007A0874">
        <w:rPr>
          <w:rFonts w:ascii="Times New Roman" w:eastAsia="Times New Roman" w:hAnsi="Times New Roman" w:cs="Times New Roman"/>
          <w:sz w:val="28"/>
          <w:szCs w:val="28"/>
          <w:lang w:val="en-US" w:eastAsia="ru-RU"/>
        </w:rPr>
        <w:t xml:space="preserve"> Caucasian travelogue, Caucasian Mineral Waters, Russian literature, the Decembrists movement, Stepan D. Nechayev, the first quarter of the 19 century.</w:t>
      </w:r>
    </w:p>
    <w:p w14:paraId="00C34B0A" w14:textId="18597478" w:rsidR="004F6FFA" w:rsidRDefault="004F6FFA">
      <w:pPr>
        <w:rPr>
          <w:lang w:val="en-US"/>
        </w:rPr>
      </w:pPr>
    </w:p>
    <w:p w14:paraId="3AD5CD87" w14:textId="7F27E530" w:rsidR="00262127" w:rsidRDefault="00262127">
      <w:pPr>
        <w:rPr>
          <w:lang w:val="en-US"/>
        </w:rPr>
      </w:pPr>
    </w:p>
    <w:p w14:paraId="38904D23" w14:textId="12EC045F" w:rsidR="00B0353A" w:rsidRDefault="00B0353A">
      <w:pPr>
        <w:rPr>
          <w:lang w:val="en-US"/>
        </w:rPr>
      </w:pPr>
    </w:p>
    <w:p w14:paraId="03705D06" w14:textId="08AD5E9D" w:rsidR="00B0353A" w:rsidRDefault="00B0353A">
      <w:pPr>
        <w:rPr>
          <w:lang w:val="en-US"/>
        </w:rPr>
      </w:pPr>
    </w:p>
    <w:p w14:paraId="7E135FAF" w14:textId="484AB4AF" w:rsidR="00B0353A" w:rsidRDefault="00B0353A">
      <w:pPr>
        <w:rPr>
          <w:lang w:val="en-US"/>
        </w:rPr>
      </w:pPr>
    </w:p>
    <w:p w14:paraId="75027E01" w14:textId="7BA8E3CC" w:rsidR="00B0353A" w:rsidRDefault="00B0353A">
      <w:pPr>
        <w:rPr>
          <w:lang w:val="en-US"/>
        </w:rPr>
      </w:pPr>
    </w:p>
    <w:p w14:paraId="1937F7A2" w14:textId="1323B255" w:rsidR="00B0353A" w:rsidRDefault="00B0353A">
      <w:pPr>
        <w:rPr>
          <w:lang w:val="en-US"/>
        </w:rPr>
      </w:pPr>
    </w:p>
    <w:p w14:paraId="5B7D2E5C" w14:textId="6C686433" w:rsidR="00B0353A" w:rsidRDefault="00B0353A">
      <w:pPr>
        <w:rPr>
          <w:lang w:val="en-US"/>
        </w:rPr>
      </w:pPr>
    </w:p>
    <w:p w14:paraId="7BD8DE20" w14:textId="49CE7D84" w:rsidR="00B0353A" w:rsidRDefault="00B0353A">
      <w:pPr>
        <w:rPr>
          <w:lang w:val="en-US"/>
        </w:rPr>
      </w:pPr>
    </w:p>
    <w:p w14:paraId="11B20F97" w14:textId="770CD723" w:rsidR="00B0353A" w:rsidRDefault="00B0353A">
      <w:pPr>
        <w:rPr>
          <w:lang w:val="en-US"/>
        </w:rPr>
      </w:pPr>
    </w:p>
    <w:p w14:paraId="42A65E43" w14:textId="037B169F" w:rsidR="00B0353A" w:rsidRDefault="00B0353A">
      <w:pPr>
        <w:rPr>
          <w:lang w:val="en-US"/>
        </w:rPr>
      </w:pPr>
    </w:p>
    <w:p w14:paraId="241F82EB" w14:textId="67EE2AD7" w:rsidR="00B0353A" w:rsidRDefault="00B0353A">
      <w:pPr>
        <w:rPr>
          <w:lang w:val="en-US"/>
        </w:rPr>
      </w:pPr>
    </w:p>
    <w:p w14:paraId="36EE6029" w14:textId="71EBC781" w:rsidR="00B0353A" w:rsidRDefault="00B0353A">
      <w:pPr>
        <w:rPr>
          <w:lang w:val="en-US"/>
        </w:rPr>
      </w:pPr>
    </w:p>
    <w:p w14:paraId="7D518C0E" w14:textId="3C770061" w:rsidR="00B0353A" w:rsidRDefault="00B0353A">
      <w:pPr>
        <w:rPr>
          <w:lang w:val="en-US"/>
        </w:rPr>
      </w:pPr>
    </w:p>
    <w:p w14:paraId="3C56567D" w14:textId="5740DDAA" w:rsidR="00B0353A" w:rsidRDefault="00B0353A">
      <w:pPr>
        <w:rPr>
          <w:lang w:val="en-US"/>
        </w:rPr>
      </w:pPr>
    </w:p>
    <w:p w14:paraId="6E849DF1" w14:textId="70AC28EC" w:rsidR="00B0353A" w:rsidRDefault="00B0353A">
      <w:pPr>
        <w:rPr>
          <w:lang w:val="en-US"/>
        </w:rPr>
      </w:pPr>
    </w:p>
    <w:p w14:paraId="17AAE80A" w14:textId="12947651" w:rsidR="00B0353A" w:rsidRDefault="00B0353A">
      <w:pPr>
        <w:rPr>
          <w:lang w:val="en-US"/>
        </w:rPr>
      </w:pPr>
    </w:p>
    <w:p w14:paraId="648BBB1E" w14:textId="5F9668DB" w:rsidR="00B0353A" w:rsidRDefault="00B0353A">
      <w:pPr>
        <w:rPr>
          <w:lang w:val="en-US"/>
        </w:rPr>
      </w:pPr>
    </w:p>
    <w:p w14:paraId="2841762C" w14:textId="725F3CF0" w:rsidR="00B0353A" w:rsidRDefault="00B0353A">
      <w:pPr>
        <w:rPr>
          <w:lang w:val="en-US"/>
        </w:rPr>
      </w:pPr>
    </w:p>
    <w:p w14:paraId="4AB1C3EA" w14:textId="20B5C43F" w:rsidR="00B0353A" w:rsidRDefault="00B0353A">
      <w:pPr>
        <w:rPr>
          <w:lang w:val="en-US"/>
        </w:rPr>
      </w:pPr>
    </w:p>
    <w:p w14:paraId="78366F5D" w14:textId="5B5B31C1" w:rsidR="00B0353A" w:rsidRDefault="00B0353A">
      <w:pPr>
        <w:rPr>
          <w:lang w:val="en-US"/>
        </w:rPr>
      </w:pPr>
    </w:p>
    <w:p w14:paraId="54909367" w14:textId="4973AB89" w:rsidR="00B0353A" w:rsidRDefault="00B0353A">
      <w:pPr>
        <w:rPr>
          <w:lang w:val="en-US"/>
        </w:rPr>
      </w:pPr>
    </w:p>
    <w:p w14:paraId="12B49B96" w14:textId="77777777" w:rsidR="00B0353A" w:rsidRDefault="00B0353A" w:rsidP="00B035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ЮРИДИЧЕСКИЕ НАУКИ</w:t>
      </w:r>
    </w:p>
    <w:p w14:paraId="35C18044" w14:textId="77777777" w:rsidR="00B0353A" w:rsidRPr="00F62962" w:rsidRDefault="00B0353A" w:rsidP="00B0353A">
      <w:pPr>
        <w:spacing w:after="0" w:line="360" w:lineRule="auto"/>
        <w:ind w:firstLine="709"/>
        <w:rPr>
          <w:rFonts w:ascii="Times New Roman" w:eastAsia="Calibri" w:hAnsi="Times New Roman" w:cs="Times New Roman"/>
          <w:b/>
          <w:bCs/>
          <w:sz w:val="28"/>
          <w:szCs w:val="28"/>
          <w:lang w:eastAsia="ru-RU"/>
        </w:rPr>
      </w:pPr>
      <w:r w:rsidRPr="00F62962">
        <w:rPr>
          <w:rFonts w:ascii="Times New Roman" w:eastAsia="Calibri" w:hAnsi="Times New Roman" w:cs="Times New Roman"/>
          <w:b/>
          <w:bCs/>
          <w:sz w:val="28"/>
          <w:szCs w:val="28"/>
          <w:lang w:eastAsia="ru-RU"/>
        </w:rPr>
        <w:t>УДК 343.73</w:t>
      </w:r>
    </w:p>
    <w:p w14:paraId="5B628213" w14:textId="77777777" w:rsidR="00B0353A" w:rsidRPr="00092EC3" w:rsidRDefault="00B0353A" w:rsidP="00B0353A">
      <w:pPr>
        <w:spacing w:after="0" w:line="360" w:lineRule="auto"/>
        <w:ind w:firstLine="709"/>
        <w:contextualSpacing/>
        <w:jc w:val="right"/>
        <w:rPr>
          <w:rFonts w:ascii="Times New Roman" w:eastAsia="Calibri" w:hAnsi="Times New Roman" w:cs="Times New Roman"/>
          <w:b/>
          <w:bCs/>
          <w:sz w:val="28"/>
          <w:szCs w:val="28"/>
        </w:rPr>
      </w:pPr>
      <w:bookmarkStart w:id="2" w:name="_Hlk121867675"/>
      <w:r w:rsidRPr="00092EC3">
        <w:rPr>
          <w:rFonts w:ascii="Times New Roman" w:eastAsia="Calibri" w:hAnsi="Times New Roman" w:cs="Times New Roman"/>
          <w:b/>
          <w:bCs/>
          <w:sz w:val="28"/>
          <w:szCs w:val="28"/>
        </w:rPr>
        <w:t>http://doi.org/</w:t>
      </w:r>
      <w:r w:rsidRPr="00761216">
        <w:rPr>
          <w:rFonts w:ascii="Times New Roman" w:eastAsia="Calibri" w:hAnsi="Times New Roman" w:cs="Times New Roman"/>
          <w:b/>
          <w:bCs/>
          <w:sz w:val="28"/>
          <w:szCs w:val="28"/>
        </w:rPr>
        <w:t>10.37493/2409-1030.2022.4.13</w:t>
      </w:r>
    </w:p>
    <w:p w14:paraId="6D24F6C8" w14:textId="77777777" w:rsidR="00B0353A" w:rsidRPr="00F62962" w:rsidRDefault="00B0353A" w:rsidP="00B0353A">
      <w:pPr>
        <w:spacing w:after="0" w:line="360" w:lineRule="auto"/>
        <w:ind w:firstLine="709"/>
        <w:jc w:val="right"/>
        <w:rPr>
          <w:rFonts w:ascii="Times New Roman" w:eastAsia="Calibri" w:hAnsi="Times New Roman" w:cs="Times New Roman"/>
          <w:b/>
          <w:bCs/>
          <w:kern w:val="2"/>
          <w:sz w:val="28"/>
          <w:szCs w:val="28"/>
          <w:lang w:eastAsia="ru-RU"/>
        </w:rPr>
      </w:pPr>
      <w:r w:rsidRPr="00F62962">
        <w:rPr>
          <w:rFonts w:ascii="Times New Roman" w:eastAsia="Calibri" w:hAnsi="Times New Roman" w:cs="Times New Roman"/>
          <w:b/>
          <w:bCs/>
          <w:kern w:val="2"/>
          <w:sz w:val="28"/>
          <w:szCs w:val="28"/>
          <w:lang w:eastAsia="ru-RU"/>
        </w:rPr>
        <w:t>А.Е. Апанасенко</w:t>
      </w:r>
    </w:p>
    <w:p w14:paraId="3E1C355E" w14:textId="77777777" w:rsidR="00B0353A" w:rsidRPr="00F62962" w:rsidRDefault="00B0353A" w:rsidP="00B0353A">
      <w:pPr>
        <w:spacing w:after="0" w:line="360" w:lineRule="auto"/>
        <w:ind w:firstLine="709"/>
        <w:jc w:val="center"/>
        <w:rPr>
          <w:rFonts w:ascii="Times New Roman" w:eastAsia="Calibri" w:hAnsi="Times New Roman" w:cs="Times New Roman"/>
          <w:b/>
          <w:bCs/>
          <w:kern w:val="2"/>
          <w:sz w:val="28"/>
          <w:szCs w:val="28"/>
          <w:lang w:eastAsia="ru-RU"/>
        </w:rPr>
      </w:pPr>
      <w:r w:rsidRPr="00F62962">
        <w:rPr>
          <w:rFonts w:ascii="Times New Roman" w:eastAsia="Calibri" w:hAnsi="Times New Roman" w:cs="Times New Roman"/>
          <w:b/>
          <w:bCs/>
          <w:kern w:val="2"/>
          <w:sz w:val="28"/>
          <w:szCs w:val="28"/>
          <w:lang w:eastAsia="ru-RU"/>
        </w:rPr>
        <w:t>СИСТЕМА ОБЯЗАТЕЛЬНОГО СТРАХОВАНИЯ: ПОНЯТИЕ И ОСОБЕННОСТИ</w:t>
      </w:r>
      <w:bookmarkEnd w:id="2"/>
    </w:p>
    <w:p w14:paraId="5B382167" w14:textId="77777777" w:rsidR="00B0353A" w:rsidRPr="00F62962" w:rsidRDefault="00B0353A" w:rsidP="00B0353A">
      <w:pPr>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r w:rsidRPr="00F62962">
        <w:rPr>
          <w:rFonts w:ascii="Times New Roman" w:eastAsia="Calibri" w:hAnsi="Times New Roman" w:cs="Times New Roman"/>
          <w:sz w:val="28"/>
          <w:szCs w:val="28"/>
          <w:lang w:eastAsia="ru-RU"/>
        </w:rPr>
        <w:t xml:space="preserve">Статья посвящена изучению современной системы обязательного страхования в Российской Федерации. Автор дает характеристику функциональным подсистемам входящих в структуру обязательного страхования и определяет их особенности. Актуальность исследования темы настоящей статьи определена тем, что обязательное страхование в России – растущий вид финансовой деятельности, способствующий экономической стабильности общества. Обязательное страхование в современной России – это сложное, организованное образование со стратегическими целями и действенными способами ее достижения.  В подтверждении вышесказанному необходимо отметить, что в период финансовых кризисов 2008, 2014 годов и глобальной пандемии 2020 года, организация обязательного страхования продемонстрировала свою эффективность. В это время удалось сохранить стабильность социально-экономической сферы страны и избежать резкого оттока вкладов, что способствовало устойчивости банковской системы. </w:t>
      </w:r>
    </w:p>
    <w:p w14:paraId="1366467C" w14:textId="77777777" w:rsidR="00B0353A" w:rsidRPr="00F62962" w:rsidRDefault="00B0353A" w:rsidP="00B0353A">
      <w:pPr>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r w:rsidRPr="00F62962">
        <w:rPr>
          <w:rFonts w:ascii="Times New Roman" w:eastAsia="Calibri" w:hAnsi="Times New Roman" w:cs="Times New Roman"/>
          <w:sz w:val="28"/>
          <w:szCs w:val="28"/>
          <w:lang w:eastAsia="ru-RU"/>
        </w:rPr>
        <w:t xml:space="preserve">Реализующиеся в процессе осуществления финансовой деятельности общественные отношения в области обязательного страхования, представляют собой определенную систему экономических отношений, имеющих строго направленную последовательность, регламентированную государством. Становление системы обязательного страхования определяется развитием страхового рынка. Важным фактором такого развития служит взвешенная и последовательная макроэкономическая политика, в основе которой лежат финансовая стабильность. Повышенное внимание в статье уделяется структурированию системы обязательного страхования, как основополагающих элементов функционирования деятельности страхования. </w:t>
      </w:r>
      <w:r w:rsidRPr="00F62962">
        <w:rPr>
          <w:rFonts w:ascii="Times New Roman" w:eastAsia="Calibri" w:hAnsi="Times New Roman" w:cs="Times New Roman"/>
          <w:sz w:val="28"/>
          <w:szCs w:val="28"/>
          <w:lang w:eastAsia="ru-RU"/>
        </w:rPr>
        <w:lastRenderedPageBreak/>
        <w:t xml:space="preserve">Автором определены ключевые подсистемы, непосредственно влияющие на организацию страхового дела в России, а также обозначены присутствующие современные проблемы и определены способы их устранения. </w:t>
      </w:r>
    </w:p>
    <w:p w14:paraId="55AAC342" w14:textId="77777777" w:rsidR="00B0353A" w:rsidRPr="00F62962" w:rsidRDefault="00B0353A" w:rsidP="00B0353A">
      <w:pPr>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r w:rsidRPr="00F62962">
        <w:rPr>
          <w:rFonts w:ascii="Times New Roman" w:eastAsia="Calibri" w:hAnsi="Times New Roman" w:cs="Times New Roman"/>
          <w:sz w:val="28"/>
          <w:szCs w:val="28"/>
          <w:lang w:eastAsia="ru-RU"/>
        </w:rPr>
        <w:t>Особое внимание уделено контрольно-надзорной подсистеме обязательного страхования, определяющей состав субъектов страхового надзора, функции и задачи реализации контрольно-надзорных полномочий исполнительно-распорядительных органов и Центрального Банка России. Автором подчеркивается необходимость применения превентивных мер при осуществлении страхового надзора к субъектам обязательного страхования.</w:t>
      </w:r>
    </w:p>
    <w:p w14:paraId="1311AE5F" w14:textId="77777777" w:rsidR="00B0353A" w:rsidRDefault="00B0353A" w:rsidP="00B0353A">
      <w:pPr>
        <w:spacing w:after="0" w:line="360" w:lineRule="auto"/>
        <w:ind w:firstLine="709"/>
        <w:jc w:val="both"/>
        <w:rPr>
          <w:rFonts w:ascii="Times New Roman" w:eastAsia="Calibri" w:hAnsi="Times New Roman" w:cs="Times New Roman"/>
          <w:sz w:val="28"/>
          <w:szCs w:val="28"/>
          <w:lang w:eastAsia="ru-RU"/>
        </w:rPr>
      </w:pPr>
      <w:r w:rsidRPr="00F62962">
        <w:rPr>
          <w:rFonts w:ascii="Times New Roman" w:eastAsia="Calibri" w:hAnsi="Times New Roman" w:cs="Times New Roman"/>
          <w:b/>
          <w:sz w:val="28"/>
          <w:szCs w:val="28"/>
          <w:lang w:eastAsia="ru-RU"/>
        </w:rPr>
        <w:t>Ключевые слова</w:t>
      </w:r>
      <w:r w:rsidRPr="00F62962">
        <w:rPr>
          <w:rFonts w:ascii="Times New Roman" w:eastAsia="Calibri" w:hAnsi="Times New Roman" w:cs="Times New Roman"/>
          <w:sz w:val="28"/>
          <w:szCs w:val="28"/>
          <w:lang w:eastAsia="ru-RU"/>
        </w:rPr>
        <w:t>: обязательное страхование, система, финансовая система, страховой надзор, фонды страхования, страховщики, страховые брокеры, страховые актуарии, финансовые отношения.</w:t>
      </w:r>
    </w:p>
    <w:p w14:paraId="4A3ABEB0" w14:textId="77777777" w:rsidR="00B0353A" w:rsidRPr="00B163B3" w:rsidRDefault="00B0353A" w:rsidP="00B0353A">
      <w:pPr>
        <w:spacing w:after="0" w:line="360" w:lineRule="auto"/>
        <w:ind w:firstLine="709"/>
        <w:jc w:val="right"/>
        <w:rPr>
          <w:rFonts w:ascii="Times New Roman" w:eastAsia="Calibri" w:hAnsi="Times New Roman" w:cs="Times New Roman"/>
          <w:b/>
          <w:sz w:val="28"/>
          <w:szCs w:val="28"/>
          <w:lang w:val="en-US" w:eastAsia="ru-RU"/>
        </w:rPr>
      </w:pPr>
      <w:bookmarkStart w:id="3" w:name="_Hlk121867691"/>
      <w:r w:rsidRPr="00F62962">
        <w:rPr>
          <w:rFonts w:ascii="Times New Roman" w:eastAsia="Calibri" w:hAnsi="Times New Roman" w:cs="Times New Roman"/>
          <w:b/>
          <w:sz w:val="28"/>
          <w:szCs w:val="28"/>
          <w:lang w:val="en-US" w:eastAsia="ru-RU"/>
        </w:rPr>
        <w:t>Anna</w:t>
      </w:r>
      <w:r w:rsidRPr="00B163B3">
        <w:rPr>
          <w:rFonts w:ascii="Times New Roman" w:eastAsia="Calibri" w:hAnsi="Times New Roman" w:cs="Times New Roman"/>
          <w:b/>
          <w:sz w:val="28"/>
          <w:szCs w:val="28"/>
          <w:lang w:val="en-US" w:eastAsia="ru-RU"/>
        </w:rPr>
        <w:t xml:space="preserve"> </w:t>
      </w:r>
      <w:r>
        <w:rPr>
          <w:rFonts w:ascii="Times New Roman" w:eastAsia="Calibri" w:hAnsi="Times New Roman" w:cs="Times New Roman"/>
          <w:b/>
          <w:sz w:val="28"/>
          <w:szCs w:val="28"/>
          <w:lang w:val="en-US" w:eastAsia="ru-RU"/>
        </w:rPr>
        <w:t>E</w:t>
      </w:r>
      <w:r w:rsidRPr="00B163B3">
        <w:rPr>
          <w:rFonts w:ascii="Times New Roman" w:eastAsia="Calibri" w:hAnsi="Times New Roman" w:cs="Times New Roman"/>
          <w:b/>
          <w:sz w:val="28"/>
          <w:szCs w:val="28"/>
          <w:lang w:val="en-US" w:eastAsia="ru-RU"/>
        </w:rPr>
        <w:t xml:space="preserve">. </w:t>
      </w:r>
      <w:r w:rsidRPr="00F62962">
        <w:rPr>
          <w:rFonts w:ascii="Times New Roman" w:eastAsia="Calibri" w:hAnsi="Times New Roman" w:cs="Times New Roman"/>
          <w:b/>
          <w:sz w:val="28"/>
          <w:szCs w:val="28"/>
          <w:lang w:val="en-US" w:eastAsia="ru-RU"/>
        </w:rPr>
        <w:t>Apanasenko</w:t>
      </w:r>
    </w:p>
    <w:p w14:paraId="4AB240D3" w14:textId="77777777" w:rsidR="00B0353A" w:rsidRPr="00F62962" w:rsidRDefault="00B0353A" w:rsidP="00B0353A">
      <w:pPr>
        <w:spacing w:after="0" w:line="360" w:lineRule="auto"/>
        <w:ind w:firstLine="709"/>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OBLIGATORY</w:t>
      </w:r>
      <w:r w:rsidRPr="00F62962">
        <w:rPr>
          <w:rFonts w:ascii="Times New Roman" w:eastAsia="Calibri" w:hAnsi="Times New Roman" w:cs="Times New Roman"/>
          <w:b/>
          <w:sz w:val="28"/>
          <w:szCs w:val="28"/>
          <w:lang w:val="en-US" w:eastAsia="ru-RU"/>
        </w:rPr>
        <w:t xml:space="preserve"> INSURANCE SYSTEM: CONCEPT AND FEATURES</w:t>
      </w:r>
      <w:bookmarkEnd w:id="3"/>
    </w:p>
    <w:p w14:paraId="336DC528" w14:textId="77777777" w:rsidR="00B0353A" w:rsidRPr="00F62962" w:rsidRDefault="00B0353A" w:rsidP="00B0353A">
      <w:pPr>
        <w:spacing w:after="0" w:line="360" w:lineRule="auto"/>
        <w:ind w:firstLine="709"/>
        <w:jc w:val="both"/>
        <w:rPr>
          <w:rFonts w:ascii="Times New Roman" w:eastAsia="Calibri" w:hAnsi="Times New Roman" w:cs="Times New Roman"/>
          <w:sz w:val="28"/>
          <w:szCs w:val="28"/>
          <w:lang w:val="en-US" w:eastAsia="ru-RU"/>
        </w:rPr>
      </w:pPr>
      <w:r w:rsidRPr="00F62962">
        <w:rPr>
          <w:rFonts w:ascii="Times New Roman" w:eastAsia="Calibri" w:hAnsi="Times New Roman" w:cs="Times New Roman"/>
          <w:sz w:val="28"/>
          <w:szCs w:val="28"/>
          <w:lang w:val="en-US" w:eastAsia="ru-RU"/>
        </w:rPr>
        <w:t xml:space="preserve">The article is devoted to the study of the modern system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in the Russian Federation. The author characterizes the functional subsystems included in the structure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and defines their features. The relevance of the research topic of this article is determined by the fact that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in Russia is a growing type of financial activity that contributes to the economic stability of society.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in modern Russia is a complex</w:t>
      </w:r>
      <w:r>
        <w:rPr>
          <w:rFonts w:ascii="Times New Roman" w:eastAsia="Calibri" w:hAnsi="Times New Roman" w:cs="Times New Roman"/>
          <w:sz w:val="28"/>
          <w:szCs w:val="28"/>
          <w:lang w:val="en-US" w:eastAsia="ru-RU"/>
        </w:rPr>
        <w:t xml:space="preserve"> system</w:t>
      </w:r>
      <w:r w:rsidRPr="00F62962">
        <w:rPr>
          <w:rFonts w:ascii="Times New Roman" w:eastAsia="Calibri" w:hAnsi="Times New Roman" w:cs="Times New Roman"/>
          <w:sz w:val="28"/>
          <w:szCs w:val="28"/>
          <w:lang w:val="en-US" w:eastAsia="ru-RU"/>
        </w:rPr>
        <w:t xml:space="preserve"> with strategic goals and effective ways to achieve it. In confirmation of the above, it should be noted that during the financial crises of 2008, 2014 and the global pandemic of 2020, the organization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has demonstrated its effectiveness. At this time, it was possible to maintain the stability of the socio-economic sphere of the country and avoid a sharp outflow of deposits, which contributed to the stability of the banking system.</w:t>
      </w:r>
    </w:p>
    <w:p w14:paraId="15315598" w14:textId="77777777" w:rsidR="00B0353A" w:rsidRPr="00F62962" w:rsidRDefault="00B0353A" w:rsidP="00B0353A">
      <w:pPr>
        <w:spacing w:after="0" w:line="360" w:lineRule="auto"/>
        <w:ind w:firstLine="709"/>
        <w:jc w:val="both"/>
        <w:rPr>
          <w:rFonts w:ascii="Times New Roman" w:eastAsia="Calibri" w:hAnsi="Times New Roman" w:cs="Times New Roman"/>
          <w:sz w:val="28"/>
          <w:szCs w:val="28"/>
          <w:lang w:val="en-US" w:eastAsia="ru-RU"/>
        </w:rPr>
      </w:pPr>
      <w:r w:rsidRPr="00F62962">
        <w:rPr>
          <w:rFonts w:ascii="Times New Roman" w:eastAsia="Calibri" w:hAnsi="Times New Roman" w:cs="Times New Roman"/>
          <w:sz w:val="28"/>
          <w:szCs w:val="28"/>
          <w:lang w:val="en-US" w:eastAsia="ru-RU"/>
        </w:rPr>
        <w:t xml:space="preserve">The social relations in the field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implemented in the course of financial activity represent a certain system of economic relations having a strictly directed sequence regulated by the state. The formation of the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w:t>
      </w:r>
      <w:r w:rsidRPr="00F62962">
        <w:rPr>
          <w:rFonts w:ascii="Times New Roman" w:eastAsia="Calibri" w:hAnsi="Times New Roman" w:cs="Times New Roman"/>
          <w:sz w:val="28"/>
          <w:szCs w:val="28"/>
          <w:lang w:val="en-US" w:eastAsia="ru-RU"/>
        </w:rPr>
        <w:lastRenderedPageBreak/>
        <w:t xml:space="preserve">insurance system is determined by the development of the insurance market. An important factor in this development is a balanced and consistent macroeconomic policy, which is based on financial stability. The article pays special attention to the structuring of the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system as the fundamental elements of the functioning of insurance activities. The author identifies the key subsystems that directly affect the organization of the insurance business in Russia, and also identifies the present modern problems and identifies ways to eliminate them.</w:t>
      </w:r>
    </w:p>
    <w:p w14:paraId="20AD5554" w14:textId="77777777" w:rsidR="00B0353A" w:rsidRPr="00F62962" w:rsidRDefault="00B0353A" w:rsidP="00B0353A">
      <w:pPr>
        <w:spacing w:after="0" w:line="360" w:lineRule="auto"/>
        <w:ind w:firstLine="709"/>
        <w:jc w:val="both"/>
        <w:rPr>
          <w:rFonts w:ascii="Times New Roman" w:eastAsia="Calibri" w:hAnsi="Times New Roman" w:cs="Times New Roman"/>
          <w:sz w:val="28"/>
          <w:szCs w:val="28"/>
          <w:lang w:val="en-US" w:eastAsia="ru-RU"/>
        </w:rPr>
      </w:pPr>
      <w:r w:rsidRPr="00F62962">
        <w:rPr>
          <w:rFonts w:ascii="Times New Roman" w:eastAsia="Calibri" w:hAnsi="Times New Roman" w:cs="Times New Roman"/>
          <w:sz w:val="28"/>
          <w:szCs w:val="28"/>
          <w:lang w:val="en-US" w:eastAsia="ru-RU"/>
        </w:rPr>
        <w:t xml:space="preserve">Special attention is paid to the control and supervisory subsystem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which determines the composition of the subjects of insurance supervision, the functions and tasks of implementing the control and supervisory powers of the executive and administrative bodies and the Central Bank of Russia. The author emphasizes the need to apply preventive measures in the implementation of insurance supervision to subjects of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w:t>
      </w:r>
    </w:p>
    <w:p w14:paraId="34AF3854" w14:textId="77777777" w:rsidR="00B0353A" w:rsidRPr="00F62962" w:rsidRDefault="00B0353A" w:rsidP="00B0353A">
      <w:pPr>
        <w:autoSpaceDE w:val="0"/>
        <w:autoSpaceDN w:val="0"/>
        <w:adjustRightInd w:val="0"/>
        <w:spacing w:after="0" w:line="360" w:lineRule="auto"/>
        <w:ind w:firstLine="567"/>
        <w:jc w:val="both"/>
        <w:rPr>
          <w:rFonts w:ascii="Times New Roman" w:eastAsia="Calibri" w:hAnsi="Times New Roman" w:cs="Times New Roman"/>
          <w:sz w:val="28"/>
          <w:szCs w:val="28"/>
          <w:lang w:val="en-US" w:eastAsia="ru-RU"/>
        </w:rPr>
      </w:pPr>
      <w:r w:rsidRPr="00F62962">
        <w:rPr>
          <w:rFonts w:ascii="Times New Roman" w:eastAsia="Calibri" w:hAnsi="Times New Roman" w:cs="Times New Roman"/>
          <w:b/>
          <w:sz w:val="28"/>
          <w:szCs w:val="28"/>
          <w:lang w:val="en-US" w:eastAsia="ru-RU"/>
        </w:rPr>
        <w:t xml:space="preserve">Key words: </w:t>
      </w:r>
      <w:r>
        <w:rPr>
          <w:rFonts w:ascii="Times New Roman" w:eastAsia="Calibri" w:hAnsi="Times New Roman" w:cs="Times New Roman"/>
          <w:sz w:val="28"/>
          <w:szCs w:val="28"/>
          <w:lang w:val="en-US" w:eastAsia="ru-RU"/>
        </w:rPr>
        <w:t>obligatory</w:t>
      </w:r>
      <w:r w:rsidRPr="00F62962">
        <w:rPr>
          <w:rFonts w:ascii="Times New Roman" w:eastAsia="Calibri" w:hAnsi="Times New Roman" w:cs="Times New Roman"/>
          <w:sz w:val="28"/>
          <w:szCs w:val="28"/>
          <w:lang w:val="en-US" w:eastAsia="ru-RU"/>
        </w:rPr>
        <w:t xml:space="preserve"> insurance, system, financial system, insurance supervision, insurance funds, insurers, insurance brokers, insurance actuaries, financial relations.</w:t>
      </w:r>
    </w:p>
    <w:p w14:paraId="6F0B2D39" w14:textId="77777777" w:rsidR="00EA079D" w:rsidRDefault="00EA079D" w:rsidP="00C3529F">
      <w:pPr>
        <w:spacing w:after="0" w:line="360" w:lineRule="auto"/>
        <w:jc w:val="both"/>
        <w:rPr>
          <w:rFonts w:ascii="Times New Roman" w:hAnsi="Times New Roman"/>
          <w:b/>
          <w:bCs/>
          <w:caps/>
          <w:sz w:val="28"/>
          <w:szCs w:val="28"/>
        </w:rPr>
      </w:pPr>
    </w:p>
    <w:p w14:paraId="503D2891" w14:textId="3CB46172" w:rsidR="00C3529F" w:rsidRPr="00027A50" w:rsidRDefault="00C3529F" w:rsidP="00C3529F">
      <w:pPr>
        <w:spacing w:after="0" w:line="360" w:lineRule="auto"/>
        <w:jc w:val="both"/>
        <w:rPr>
          <w:rFonts w:ascii="Times New Roman" w:hAnsi="Times New Roman"/>
          <w:b/>
          <w:bCs/>
          <w:caps/>
          <w:sz w:val="28"/>
          <w:szCs w:val="28"/>
        </w:rPr>
      </w:pPr>
      <w:r w:rsidRPr="00027A50">
        <w:rPr>
          <w:rFonts w:ascii="Times New Roman" w:hAnsi="Times New Roman"/>
          <w:b/>
          <w:bCs/>
          <w:caps/>
          <w:sz w:val="28"/>
          <w:szCs w:val="28"/>
        </w:rPr>
        <w:t>УДК 340.0</w:t>
      </w:r>
    </w:p>
    <w:p w14:paraId="554A1E50" w14:textId="77777777" w:rsidR="00C3529F" w:rsidRDefault="00C3529F" w:rsidP="00C3529F">
      <w:pPr>
        <w:spacing w:after="0" w:line="360" w:lineRule="auto"/>
        <w:ind w:firstLine="709"/>
        <w:jc w:val="right"/>
        <w:rPr>
          <w:rFonts w:ascii="Times New Roman" w:hAnsi="Times New Roman"/>
          <w:b/>
          <w:sz w:val="28"/>
          <w:szCs w:val="28"/>
        </w:rPr>
      </w:pPr>
      <w:r w:rsidRPr="00092EC3">
        <w:rPr>
          <w:rFonts w:ascii="Times New Roman" w:eastAsia="Calibri" w:hAnsi="Times New Roman" w:cs="Times New Roman"/>
          <w:b/>
          <w:bCs/>
          <w:sz w:val="28"/>
          <w:szCs w:val="28"/>
        </w:rPr>
        <w:t>http://doi.org/</w:t>
      </w:r>
      <w:r w:rsidRPr="0079646F">
        <w:rPr>
          <w:rFonts w:ascii="Times New Roman" w:eastAsia="Calibri" w:hAnsi="Times New Roman" w:cs="Times New Roman"/>
          <w:b/>
          <w:bCs/>
          <w:sz w:val="28"/>
          <w:szCs w:val="28"/>
        </w:rPr>
        <w:t>10.37493/2409-1030.2022.4.14</w:t>
      </w:r>
    </w:p>
    <w:p w14:paraId="1779C286" w14:textId="77777777" w:rsidR="00C3529F" w:rsidRDefault="00C3529F" w:rsidP="00C3529F">
      <w:pPr>
        <w:spacing w:after="0" w:line="360" w:lineRule="auto"/>
        <w:ind w:firstLine="709"/>
        <w:jc w:val="right"/>
        <w:rPr>
          <w:rFonts w:ascii="Times New Roman" w:hAnsi="Times New Roman"/>
          <w:b/>
          <w:sz w:val="28"/>
          <w:szCs w:val="28"/>
        </w:rPr>
      </w:pPr>
      <w:r>
        <w:rPr>
          <w:rFonts w:ascii="Times New Roman" w:hAnsi="Times New Roman"/>
          <w:b/>
          <w:sz w:val="28"/>
          <w:szCs w:val="28"/>
        </w:rPr>
        <w:t>О.В. Белянская</w:t>
      </w:r>
    </w:p>
    <w:p w14:paraId="352851E4" w14:textId="77777777" w:rsidR="00C3529F" w:rsidRDefault="00C3529F" w:rsidP="00C3529F">
      <w:pPr>
        <w:spacing w:after="0" w:line="360" w:lineRule="auto"/>
        <w:ind w:firstLine="709"/>
        <w:jc w:val="right"/>
        <w:rPr>
          <w:rFonts w:ascii="Times New Roman" w:hAnsi="Times New Roman"/>
          <w:b/>
          <w:sz w:val="28"/>
          <w:szCs w:val="28"/>
        </w:rPr>
      </w:pPr>
      <w:r>
        <w:rPr>
          <w:rFonts w:ascii="Times New Roman" w:hAnsi="Times New Roman"/>
          <w:b/>
          <w:sz w:val="28"/>
          <w:szCs w:val="28"/>
        </w:rPr>
        <w:t>А.А. Чомаев</w:t>
      </w:r>
    </w:p>
    <w:p w14:paraId="66DA6F0B" w14:textId="77777777" w:rsidR="00C3529F" w:rsidRDefault="00C3529F" w:rsidP="00C3529F">
      <w:pPr>
        <w:spacing w:after="0" w:line="360" w:lineRule="auto"/>
        <w:ind w:firstLine="709"/>
        <w:jc w:val="center"/>
        <w:rPr>
          <w:rFonts w:ascii="Times New Roman" w:hAnsi="Times New Roman"/>
          <w:b/>
          <w:sz w:val="28"/>
          <w:szCs w:val="28"/>
        </w:rPr>
      </w:pPr>
      <w:r>
        <w:rPr>
          <w:rFonts w:ascii="Times New Roman" w:hAnsi="Times New Roman"/>
          <w:b/>
          <w:sz w:val="28"/>
          <w:szCs w:val="28"/>
        </w:rPr>
        <w:t>ПРОЦЕСС ПРАВОРЕАЛИЗАЦИИ В УСЛОВИЯХ ЦИФРОВИЗАЦИИ</w:t>
      </w:r>
    </w:p>
    <w:p w14:paraId="64E2E351"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Рассматривается специфика выражения процесса правореализации в условиях цифровизации в целях </w:t>
      </w:r>
      <w:r>
        <w:rPr>
          <w:rFonts w:ascii="Times New Roman" w:hAnsi="Times New Roman"/>
          <w:sz w:val="28"/>
          <w:szCs w:val="28"/>
          <w:lang w:eastAsia="ru-RU"/>
        </w:rPr>
        <w:t xml:space="preserve">выявления особенностей форм и субъектов данного процесса, а также поиска проблем, возникающих в ходе реализации норм права с использованием цифровых технологий индивидуальными субъектами права и органами власти. </w:t>
      </w:r>
    </w:p>
    <w:p w14:paraId="6F3790F6"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Оригинальность и новизна исследования проявляется в постановке проблемы, целях исследования и авторских выводах относительно форм </w:t>
      </w:r>
      <w:r>
        <w:rPr>
          <w:rFonts w:ascii="Times New Roman" w:hAnsi="Times New Roman"/>
          <w:sz w:val="28"/>
          <w:szCs w:val="28"/>
        </w:rPr>
        <w:lastRenderedPageBreak/>
        <w:t xml:space="preserve">реализации права в цифровой среде, теоретико-прикладном анализе проблем процесса правореализации в условии цифровизации. </w:t>
      </w:r>
    </w:p>
    <w:p w14:paraId="41C114D8"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Делается вывод, что правореализация с использованием цифровых технологий встроена в общий механизм реализации права и включает процедуры характерные для правоприменения и непосредственной формы реализации норм права. Непосредственная форма реализации норм права используется в целях самостоятельного выбора процедур и средств осуществления своих прав и законных интересов пользователями инфокоммуникационных технологий. </w:t>
      </w:r>
    </w:p>
    <w:p w14:paraId="27497677"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t>Доказывается, что фактором, влияющим на качество правореализации является цифровая культура, основанная на цифровой грамотности лица, реализующего свои правовые возможности.</w:t>
      </w:r>
    </w:p>
    <w:p w14:paraId="48527E75"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t>Констатируется, что применение цифровых технологий органами власти необходимо и востребовано как способ современной коммуникации и бесконтактного взаимодействия с гражданами по поводу реализации прав и свобод граждан и юридических лиц.</w:t>
      </w:r>
    </w:p>
    <w:p w14:paraId="1FCA366F" w14:textId="77777777" w:rsidR="00C3529F" w:rsidRDefault="00C3529F" w:rsidP="00C3529F">
      <w:pPr>
        <w:spacing w:after="0" w:line="360" w:lineRule="auto"/>
        <w:ind w:firstLine="709"/>
        <w:jc w:val="both"/>
        <w:rPr>
          <w:rFonts w:ascii="Times New Roman" w:hAnsi="Times New Roman"/>
          <w:iCs/>
          <w:sz w:val="28"/>
          <w:szCs w:val="28"/>
          <w:lang w:eastAsia="ru-RU"/>
        </w:rPr>
      </w:pPr>
      <w:r>
        <w:rPr>
          <w:rFonts w:ascii="Times New Roman" w:hAnsi="Times New Roman"/>
          <w:sz w:val="28"/>
          <w:szCs w:val="28"/>
        </w:rPr>
        <w:t>Выявлены основные</w:t>
      </w:r>
      <w:r>
        <w:rPr>
          <w:rFonts w:ascii="Times New Roman" w:hAnsi="Times New Roman"/>
          <w:sz w:val="28"/>
          <w:szCs w:val="28"/>
          <w:lang w:eastAsia="ru-RU"/>
        </w:rPr>
        <w:t xml:space="preserve"> проблемы, возникающие в процессе реализации норм права с использованием цифровых технологий, в частности это необходимость </w:t>
      </w:r>
      <w:r>
        <w:rPr>
          <w:rFonts w:ascii="Times New Roman" w:hAnsi="Times New Roman"/>
          <w:sz w:val="28"/>
          <w:szCs w:val="28"/>
        </w:rPr>
        <w:t xml:space="preserve">кодификации законодательства о цифровых технологиях и принятие Цифрового кодекса. Авторы полагают, что требуется активное внедрение процедур по защите ключевых конституционных прав граждан, в виду наличия </w:t>
      </w:r>
      <w:r>
        <w:rPr>
          <w:rFonts w:ascii="Times New Roman" w:hAnsi="Times New Roman"/>
          <w:sz w:val="28"/>
          <w:szCs w:val="28"/>
          <w:shd w:val="clear" w:color="auto" w:fill="FFFFFF"/>
        </w:rPr>
        <w:t xml:space="preserve">потенциальных угроз правам и свободам личности, исходящие от процесса тотальной цифровизации общественных отношений. Особая роль в процессе защиты прав субъектов в цифровой среде принадлежит процедурам по обеспечению сохранности </w:t>
      </w:r>
      <w:r>
        <w:rPr>
          <w:rFonts w:ascii="Times New Roman" w:hAnsi="Times New Roman"/>
          <w:sz w:val="28"/>
          <w:szCs w:val="28"/>
        </w:rPr>
        <w:t xml:space="preserve">персональных данных пользователей инфокоммуникационных технологий. </w:t>
      </w:r>
      <w:r>
        <w:rPr>
          <w:rFonts w:ascii="Times New Roman" w:hAnsi="Times New Roman"/>
          <w:iCs/>
          <w:sz w:val="28"/>
          <w:szCs w:val="28"/>
          <w:lang w:eastAsia="ru-RU"/>
        </w:rPr>
        <w:t>Защита персональных данных является одним из важнейших направлений в обеспечении информационной безопасности граждан в связи цифровизацией всех элементов правовой системы.</w:t>
      </w:r>
    </w:p>
    <w:p w14:paraId="2B96F154"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Обосновывается необходимость преодоления угроз существования коррупционных рисков и </w:t>
      </w:r>
      <w:r>
        <w:rPr>
          <w:rFonts w:ascii="Times New Roman" w:hAnsi="Times New Roman"/>
          <w:bCs/>
          <w:sz w:val="28"/>
          <w:szCs w:val="28"/>
        </w:rPr>
        <w:t>коррупционных предложений в цифровой среде</w:t>
      </w:r>
      <w:r>
        <w:rPr>
          <w:rFonts w:ascii="Times New Roman" w:hAnsi="Times New Roman"/>
          <w:sz w:val="28"/>
          <w:szCs w:val="28"/>
        </w:rPr>
        <w:t>. Высказываются опасения, что с углублением цифровизации и применения искусственного интеллекта коррупционных схемы значительно расширятся.</w:t>
      </w:r>
    </w:p>
    <w:p w14:paraId="58B4F569" w14:textId="77777777" w:rsidR="00C3529F" w:rsidRDefault="00C3529F" w:rsidP="00C3529F">
      <w:pPr>
        <w:spacing w:after="0" w:line="360" w:lineRule="auto"/>
        <w:ind w:firstLine="709"/>
        <w:jc w:val="both"/>
        <w:rPr>
          <w:rFonts w:ascii="Times New Roman" w:hAnsi="Times New Roman"/>
          <w:sz w:val="28"/>
          <w:szCs w:val="28"/>
        </w:rPr>
      </w:pPr>
      <w:r>
        <w:rPr>
          <w:rFonts w:ascii="Times New Roman" w:hAnsi="Times New Roman"/>
          <w:b/>
          <w:caps/>
          <w:sz w:val="28"/>
          <w:szCs w:val="28"/>
        </w:rPr>
        <w:t>К</w:t>
      </w:r>
      <w:r>
        <w:rPr>
          <w:rFonts w:ascii="Times New Roman" w:hAnsi="Times New Roman"/>
          <w:b/>
          <w:sz w:val="28"/>
          <w:szCs w:val="28"/>
        </w:rPr>
        <w:t xml:space="preserve">лючевые слова: </w:t>
      </w:r>
      <w:r>
        <w:rPr>
          <w:rFonts w:ascii="Times New Roman" w:hAnsi="Times New Roman"/>
          <w:sz w:val="28"/>
          <w:szCs w:val="28"/>
        </w:rPr>
        <w:t>провореализация, цифровизация, реализация норм права, непосредственная форма реализации, цифровая культура, цифровые технологии, персональные данные.</w:t>
      </w:r>
    </w:p>
    <w:p w14:paraId="300D10E3" w14:textId="77777777" w:rsidR="00C3529F" w:rsidRDefault="00C3529F" w:rsidP="00C3529F">
      <w:pPr>
        <w:spacing w:after="0" w:line="360" w:lineRule="auto"/>
        <w:ind w:firstLine="709"/>
        <w:jc w:val="right"/>
        <w:rPr>
          <w:rFonts w:ascii="Times New Roman" w:hAnsi="Times New Roman"/>
          <w:b/>
          <w:sz w:val="28"/>
          <w:szCs w:val="28"/>
          <w:lang w:val="en-US"/>
        </w:rPr>
      </w:pPr>
      <w:bookmarkStart w:id="4" w:name="_Hlk121867747"/>
      <w:r>
        <w:rPr>
          <w:rFonts w:ascii="Times New Roman" w:hAnsi="Times New Roman"/>
          <w:b/>
          <w:sz w:val="28"/>
          <w:szCs w:val="28"/>
          <w:lang w:val="en-US"/>
        </w:rPr>
        <w:t>Olga V. Belyanskaya</w:t>
      </w:r>
    </w:p>
    <w:p w14:paraId="004D95E2" w14:textId="77777777" w:rsidR="00C3529F" w:rsidRDefault="00C3529F" w:rsidP="00C3529F">
      <w:pPr>
        <w:spacing w:after="0" w:line="360" w:lineRule="auto"/>
        <w:ind w:firstLine="709"/>
        <w:jc w:val="right"/>
        <w:rPr>
          <w:rFonts w:ascii="Times New Roman" w:hAnsi="Times New Roman"/>
          <w:b/>
          <w:sz w:val="28"/>
          <w:szCs w:val="28"/>
          <w:lang w:val="en-US"/>
        </w:rPr>
      </w:pPr>
      <w:r>
        <w:rPr>
          <w:rFonts w:ascii="Times New Roman" w:hAnsi="Times New Roman"/>
          <w:b/>
          <w:sz w:val="28"/>
          <w:szCs w:val="28"/>
          <w:lang w:val="en-US"/>
        </w:rPr>
        <w:t>Albert A. Chomaev</w:t>
      </w:r>
    </w:p>
    <w:p w14:paraId="3B7BA22B" w14:textId="77777777" w:rsidR="00C3529F" w:rsidRDefault="00C3529F" w:rsidP="00C3529F">
      <w:pPr>
        <w:spacing w:after="0" w:line="360" w:lineRule="auto"/>
        <w:ind w:firstLine="709"/>
        <w:jc w:val="center"/>
        <w:rPr>
          <w:rFonts w:ascii="Times New Roman" w:hAnsi="Times New Roman"/>
          <w:b/>
          <w:sz w:val="28"/>
          <w:szCs w:val="28"/>
          <w:lang w:val="en-US"/>
        </w:rPr>
      </w:pPr>
      <w:r>
        <w:rPr>
          <w:rFonts w:ascii="Times New Roman" w:hAnsi="Times New Roman"/>
          <w:b/>
          <w:sz w:val="28"/>
          <w:szCs w:val="28"/>
          <w:lang w:val="en-US"/>
        </w:rPr>
        <w:t>THE PROCESS OF LAW ENFORCEMENT IN THE CONDITIONS OF DIGITALIZATION</w:t>
      </w:r>
      <w:bookmarkEnd w:id="4"/>
    </w:p>
    <w:p w14:paraId="110925C4"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peculiarities of law enforcement process in the context of digitalization is considered in order to identify the features of the forms and subjects of this process, as well as to search for problems that arise in the course of the implementation of legal norms using digital technologies by individual subjects of law and authorities.</w:t>
      </w:r>
    </w:p>
    <w:p w14:paraId="26FA7F69"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originality and novelty of the study is manifested in the formulation of the problem, the objectives of the study and the author's conclusions regarding the forms of realization of law in the digital environment, the theoretical and applied analysis of the problems of the process of law enforcement in the context of digitalization.</w:t>
      </w:r>
    </w:p>
    <w:p w14:paraId="72F6A340"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It is concluded that law enforcement with digital technologies is built into the general mechanism for the implementation of law and includes procedures specific to law enforcement and the direct form of implementation of the law. The direct form of law enforcement is used for the purpose of independent choice of procedures and means of exercising their rights and legitimate interests by users of infocommunication technologies.</w:t>
      </w:r>
    </w:p>
    <w:p w14:paraId="7AE1D2B8"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It is proved that the digital culture based on the digital literacy of the person exercising his legal capabilities is a factor influencing the quality of law enforcement.</w:t>
      </w:r>
    </w:p>
    <w:p w14:paraId="445DE271"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lastRenderedPageBreak/>
        <w:t>It is stated that the use of digital technologies by the authorities is necessary and in demand as a way of modern communication and contactless interaction with citizens regarding the implementation of the rights and freedoms of citizens and legal entities.</w:t>
      </w:r>
    </w:p>
    <w:p w14:paraId="60C4DDCB"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main problems that arise in the process of implementing the rules of law using digital technologies are identified, in particular, the need to codify legislation on digital technologies and the adoption of the Digital Code. The authors believe that the active implementation of procedures to protect the key constitutional rights of citizens is required, in view of the presence of potential threats to the rights and freedoms of the individual, emanating from the process of total digitalization of public relations. A special role in the process of protecting the rights of subjects in the digital environment belongs to the procedures for ensuring the safety of personal data of users of infocommunication technologies. The protection of personal data is one of the most important areas in ensuring the information security of citizens in connection with the digitalization of all elements of the legal system.</w:t>
      </w:r>
    </w:p>
    <w:p w14:paraId="7B7D9F4A" w14:textId="77777777" w:rsidR="00C3529F" w:rsidRDefault="00C3529F" w:rsidP="00C3529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necessity of overcoming the threats of the existence of corruption risks and corruption proposals in the digital environment is substantiated. There are fears that with the deepening of digitalization and the use of artificial intelligence, corruption schemes will expand significantly.</w:t>
      </w:r>
    </w:p>
    <w:p w14:paraId="1D54E554" w14:textId="77777777" w:rsidR="00C3529F" w:rsidRDefault="00C3529F" w:rsidP="00C3529F">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t xml:space="preserve">Key words: </w:t>
      </w:r>
      <w:r>
        <w:rPr>
          <w:rFonts w:ascii="Times New Roman" w:hAnsi="Times New Roman"/>
          <w:sz w:val="28"/>
          <w:szCs w:val="28"/>
          <w:lang w:val="en-US"/>
        </w:rPr>
        <w:t>law enforcement, digitalization, implementation of legal norms, direct form of implementation, digital culture, digital technologies, personal data.</w:t>
      </w:r>
    </w:p>
    <w:p w14:paraId="75888DCB" w14:textId="42150C42" w:rsidR="00B0353A" w:rsidRDefault="00B0353A">
      <w:pPr>
        <w:rPr>
          <w:lang w:val="en-US"/>
        </w:rPr>
      </w:pPr>
    </w:p>
    <w:p w14:paraId="5009DE8C" w14:textId="77777777" w:rsidR="00D23D2F" w:rsidRPr="00D23D2F" w:rsidRDefault="00D23D2F" w:rsidP="00D23D2F">
      <w:pPr>
        <w:spacing w:after="0" w:line="360" w:lineRule="auto"/>
        <w:ind w:firstLine="709"/>
        <w:contextualSpacing/>
        <w:rPr>
          <w:rFonts w:ascii="Times New Roman" w:eastAsiaTheme="minorEastAsia" w:hAnsi="Times New Roman" w:cs="Times New Roman"/>
          <w:b/>
          <w:bCs/>
          <w:sz w:val="28"/>
          <w:szCs w:val="28"/>
          <w:lang w:eastAsia="ru-RU"/>
        </w:rPr>
      </w:pPr>
      <w:r w:rsidRPr="00D23D2F">
        <w:rPr>
          <w:rFonts w:ascii="Times New Roman" w:eastAsiaTheme="minorEastAsia" w:hAnsi="Times New Roman" w:cs="Times New Roman"/>
          <w:b/>
          <w:bCs/>
          <w:sz w:val="28"/>
          <w:szCs w:val="28"/>
          <w:lang w:eastAsia="ru-RU"/>
        </w:rPr>
        <w:t>УДК 343.734</w:t>
      </w:r>
    </w:p>
    <w:p w14:paraId="0207E84B" w14:textId="302329DD" w:rsidR="00E05DA3" w:rsidRPr="00092EC3" w:rsidRDefault="00E05DA3" w:rsidP="00E05DA3">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3F6BEE">
        <w:rPr>
          <w:rFonts w:ascii="Times New Roman" w:eastAsia="Calibri" w:hAnsi="Times New Roman" w:cs="Times New Roman"/>
          <w:b/>
          <w:bCs/>
          <w:sz w:val="28"/>
          <w:szCs w:val="28"/>
        </w:rPr>
        <w:t>10.37493/2409-1030.2022.4.16</w:t>
      </w:r>
    </w:p>
    <w:p w14:paraId="04672E89" w14:textId="77777777" w:rsidR="00E05DA3" w:rsidRPr="006B5FD9" w:rsidRDefault="00E05DA3" w:rsidP="00E05DA3">
      <w:pPr>
        <w:pStyle w:val="ConsPlusNormal"/>
        <w:spacing w:line="360" w:lineRule="auto"/>
        <w:ind w:firstLine="539"/>
        <w:jc w:val="right"/>
        <w:rPr>
          <w:rFonts w:ascii="Times New Roman" w:hAnsi="Times New Roman" w:cs="Times New Roman"/>
          <w:b/>
          <w:bCs/>
          <w:sz w:val="28"/>
          <w:szCs w:val="28"/>
        </w:rPr>
      </w:pPr>
      <w:r w:rsidRPr="006B5FD9">
        <w:rPr>
          <w:rFonts w:ascii="Times New Roman" w:hAnsi="Times New Roman" w:cs="Times New Roman"/>
          <w:b/>
          <w:bCs/>
          <w:sz w:val="28"/>
          <w:szCs w:val="28"/>
        </w:rPr>
        <w:t>Д.А. Смирнов</w:t>
      </w:r>
    </w:p>
    <w:p w14:paraId="0570F479" w14:textId="77777777" w:rsidR="00E05DA3" w:rsidRPr="006B5FD9" w:rsidRDefault="00E05DA3" w:rsidP="00E05DA3">
      <w:pPr>
        <w:pStyle w:val="ConsPlusNormal"/>
        <w:spacing w:line="360" w:lineRule="auto"/>
        <w:ind w:firstLine="539"/>
        <w:jc w:val="right"/>
        <w:rPr>
          <w:rFonts w:ascii="Times New Roman" w:hAnsi="Times New Roman" w:cs="Times New Roman"/>
          <w:b/>
          <w:bCs/>
          <w:sz w:val="28"/>
          <w:szCs w:val="28"/>
        </w:rPr>
      </w:pPr>
      <w:r w:rsidRPr="006B5FD9">
        <w:rPr>
          <w:rFonts w:ascii="Times New Roman" w:hAnsi="Times New Roman" w:cs="Times New Roman"/>
          <w:b/>
          <w:bCs/>
          <w:sz w:val="28"/>
          <w:szCs w:val="28"/>
        </w:rPr>
        <w:t>Е.А. Первышов</w:t>
      </w:r>
    </w:p>
    <w:p w14:paraId="595F80FD" w14:textId="77777777" w:rsidR="00E05DA3" w:rsidRDefault="00E05DA3" w:rsidP="00E05DA3">
      <w:pPr>
        <w:pStyle w:val="ConsPlusNormal"/>
        <w:spacing w:before="200" w:line="360" w:lineRule="auto"/>
        <w:ind w:firstLine="539"/>
        <w:jc w:val="center"/>
        <w:rPr>
          <w:rFonts w:ascii="Times New Roman" w:hAnsi="Times New Roman" w:cs="Times New Roman"/>
          <w:b/>
          <w:sz w:val="28"/>
          <w:szCs w:val="28"/>
        </w:rPr>
      </w:pPr>
      <w:r>
        <w:rPr>
          <w:rFonts w:ascii="Times New Roman" w:hAnsi="Times New Roman" w:cs="Times New Roman"/>
          <w:b/>
          <w:sz w:val="28"/>
          <w:szCs w:val="28"/>
        </w:rPr>
        <w:t>О ПОНЯТИИ ЦИФРОВЫХ ФИНАНСОВЫХ АКТИВОВ В УСЛОВИЯХ СОВРЕМЕННЫХ РЕАЛИЙ: ФИНАНСОВО-ПРАВОВЫЕ АСПЕКТЫ</w:t>
      </w:r>
    </w:p>
    <w:p w14:paraId="3FE45FF3" w14:textId="77777777" w:rsidR="00E05DA3" w:rsidRPr="000E2506" w:rsidRDefault="00E05DA3" w:rsidP="00E05DA3">
      <w:pPr>
        <w:spacing w:after="0" w:line="360" w:lineRule="auto"/>
        <w:ind w:firstLine="709"/>
        <w:jc w:val="both"/>
      </w:pPr>
      <w:r w:rsidRPr="0070734E">
        <w:rPr>
          <w:rFonts w:ascii="Times New Roman" w:hAnsi="Times New Roman" w:cs="Times New Roman"/>
          <w:sz w:val="28"/>
          <w:szCs w:val="28"/>
        </w:rPr>
        <w:lastRenderedPageBreak/>
        <w:t>В данн</w:t>
      </w:r>
      <w:r>
        <w:rPr>
          <w:rFonts w:ascii="Times New Roman" w:hAnsi="Times New Roman" w:cs="Times New Roman"/>
          <w:sz w:val="28"/>
          <w:szCs w:val="28"/>
        </w:rPr>
        <w:t xml:space="preserve">ой </w:t>
      </w:r>
      <w:r w:rsidRPr="0070734E">
        <w:rPr>
          <w:rFonts w:ascii="Times New Roman" w:hAnsi="Times New Roman" w:cs="Times New Roman"/>
          <w:sz w:val="28"/>
          <w:szCs w:val="28"/>
        </w:rPr>
        <w:t>статье раскрываются вопросы современного состояния правового регулирования цифровых финансовых активов. Существует масса вопросов, касающихся определения ряда технологий, активно используемых в международной и национальных финансовых системах. К числу таковых следует отнести майнинг, нфт, централизованные и децентрализованные криптовалютные биржи, криптовалют</w:t>
      </w:r>
      <w:r>
        <w:rPr>
          <w:rFonts w:ascii="Times New Roman" w:hAnsi="Times New Roman" w:cs="Times New Roman"/>
          <w:sz w:val="28"/>
          <w:szCs w:val="28"/>
        </w:rPr>
        <w:t>у</w:t>
      </w:r>
      <w:r w:rsidRPr="0070734E">
        <w:rPr>
          <w:rFonts w:ascii="Times New Roman" w:hAnsi="Times New Roman" w:cs="Times New Roman"/>
          <w:sz w:val="28"/>
          <w:szCs w:val="28"/>
        </w:rPr>
        <w:t xml:space="preserve">, токенизированные акции и др.  </w:t>
      </w:r>
      <w:r>
        <w:rPr>
          <w:rFonts w:ascii="Times New Roman" w:hAnsi="Times New Roman" w:cs="Times New Roman"/>
          <w:sz w:val="28"/>
          <w:szCs w:val="28"/>
        </w:rPr>
        <w:t xml:space="preserve">Авторы уделяют внимание актуальным проблемам, существующим в связи с опережением общественных отношений основных аспектов правового регулирования. Существующие нормативные акты лишь в тезисном виде регулируют уже полноценно сложившиеся финансовые и гражданские отношения, в которых активно участвуют физические и юридические лица. Цифровые финансовые активы представляют собой новое явление в мировом финансовом рынке. Российская федерация отличается начальной стадией правового регулирования блокчейнизации и связанных с ней событий. Основа для развития рынка цифровых финансовых активов создается благодаря финансово-правовому регулированию, а также развитию гражданско-правовой базы, благодаря которым вносится ясность для участников новых общественных отношений. Мошенничество и коррупционные действия различных участников общественных отношений становятся массовыми в условиях недостаточного правового регулирования. Задача данного исследования обратить внимание на актуальные пробелы правового регулирования, благодаря которым страдает пользователь цифровых финансовых активов. На данный момент необходимо внести дополнения и изменения в законодательство, регулирующее порядок оборота цифровых финансовых активов. Государство в условиях международных санкций нуждается в создании новейшего механизма функционирования финансовой системы Российской Федерации. Трансграничные финансовые переводы становятся необходимостью, которая может быть осуществлена только благодаря внедрению на официальном уровне блокчейна как технологии, способной изменить скорость и качество функционирования финансовой </w:t>
      </w:r>
      <w:r>
        <w:rPr>
          <w:rFonts w:ascii="Times New Roman" w:hAnsi="Times New Roman" w:cs="Times New Roman"/>
          <w:sz w:val="28"/>
          <w:szCs w:val="28"/>
        </w:rPr>
        <w:lastRenderedPageBreak/>
        <w:t xml:space="preserve">системы. Цифровой рубль выступает основой для реализации глобальных финансовых задач Российской Федерации. </w:t>
      </w:r>
    </w:p>
    <w:p w14:paraId="3741D1C2" w14:textId="77777777" w:rsidR="00E05DA3" w:rsidRDefault="00E05DA3" w:rsidP="00E05DA3">
      <w:pPr>
        <w:pStyle w:val="ConsPlusNormal"/>
        <w:spacing w:before="200" w:line="360" w:lineRule="auto"/>
        <w:ind w:firstLine="539"/>
        <w:jc w:val="both"/>
        <w:rPr>
          <w:rFonts w:ascii="Times New Roman" w:hAnsi="Times New Roman" w:cs="Times New Roman"/>
          <w:sz w:val="28"/>
          <w:szCs w:val="28"/>
        </w:rPr>
      </w:pPr>
      <w:r w:rsidRPr="00137F39">
        <w:rPr>
          <w:rFonts w:ascii="Times New Roman" w:hAnsi="Times New Roman" w:cs="Times New Roman"/>
          <w:b/>
          <w:sz w:val="28"/>
          <w:szCs w:val="28"/>
        </w:rPr>
        <w:t>Ключевые слова</w:t>
      </w:r>
      <w:r>
        <w:rPr>
          <w:rFonts w:ascii="Times New Roman" w:hAnsi="Times New Roman" w:cs="Times New Roman"/>
          <w:sz w:val="28"/>
          <w:szCs w:val="28"/>
        </w:rPr>
        <w:t>: цифровой финансовый актив, криптовалюта, токен, цифровой рубль, финансовая система.</w:t>
      </w:r>
    </w:p>
    <w:p w14:paraId="18EBC5E8" w14:textId="77777777" w:rsidR="00E05DA3" w:rsidRPr="00B163B3" w:rsidRDefault="00E05DA3" w:rsidP="00E05DA3">
      <w:pPr>
        <w:pStyle w:val="ConsPlusNormal"/>
        <w:spacing w:line="360" w:lineRule="auto"/>
        <w:ind w:firstLine="539"/>
        <w:jc w:val="right"/>
        <w:rPr>
          <w:rFonts w:ascii="Times New Roman" w:hAnsi="Times New Roman" w:cs="Times New Roman"/>
          <w:b/>
          <w:sz w:val="28"/>
          <w:szCs w:val="28"/>
          <w:lang w:val="en-US"/>
        </w:rPr>
      </w:pPr>
      <w:bookmarkStart w:id="5" w:name="_Hlk121867809"/>
      <w:r>
        <w:rPr>
          <w:rFonts w:ascii="Times New Roman" w:hAnsi="Times New Roman" w:cs="Times New Roman"/>
          <w:b/>
          <w:sz w:val="28"/>
          <w:szCs w:val="28"/>
          <w:lang w:val="en-US"/>
        </w:rPr>
        <w:t>Dmitry</w:t>
      </w:r>
      <w:r w:rsidRPr="00B163B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w:t>
      </w:r>
      <w:r w:rsidRPr="00B163B3">
        <w:rPr>
          <w:rFonts w:ascii="Times New Roman" w:hAnsi="Times New Roman" w:cs="Times New Roman"/>
          <w:b/>
          <w:sz w:val="28"/>
          <w:szCs w:val="28"/>
          <w:lang w:val="en-US"/>
        </w:rPr>
        <w:t xml:space="preserve">. </w:t>
      </w:r>
      <w:r>
        <w:rPr>
          <w:rFonts w:ascii="Times New Roman" w:hAnsi="Times New Roman" w:cs="Times New Roman"/>
          <w:b/>
          <w:sz w:val="28"/>
          <w:szCs w:val="28"/>
          <w:lang w:val="en-US"/>
        </w:rPr>
        <w:t>Smirnov</w:t>
      </w:r>
    </w:p>
    <w:p w14:paraId="28140C0E" w14:textId="77777777" w:rsidR="00E05DA3" w:rsidRDefault="00E05DA3" w:rsidP="00E05DA3">
      <w:pPr>
        <w:pStyle w:val="ConsPlusNormal"/>
        <w:spacing w:line="360" w:lineRule="auto"/>
        <w:ind w:firstLine="539"/>
        <w:jc w:val="right"/>
        <w:rPr>
          <w:rFonts w:ascii="Times New Roman" w:hAnsi="Times New Roman" w:cs="Times New Roman"/>
          <w:b/>
          <w:sz w:val="28"/>
          <w:szCs w:val="28"/>
          <w:lang w:val="en-US"/>
        </w:rPr>
      </w:pPr>
      <w:r>
        <w:rPr>
          <w:rFonts w:ascii="Times New Roman" w:hAnsi="Times New Roman" w:cs="Times New Roman"/>
          <w:b/>
          <w:sz w:val="28"/>
          <w:szCs w:val="28"/>
          <w:lang w:val="en-US"/>
        </w:rPr>
        <w:t>Evgeny A. Pervyshov</w:t>
      </w:r>
    </w:p>
    <w:p w14:paraId="241F4676" w14:textId="77777777" w:rsidR="00E05DA3" w:rsidRPr="0048290D" w:rsidRDefault="00E05DA3" w:rsidP="00E05DA3">
      <w:pPr>
        <w:pStyle w:val="ConsPlusNormal"/>
        <w:spacing w:before="200" w:line="360" w:lineRule="auto"/>
        <w:ind w:firstLine="539"/>
        <w:jc w:val="center"/>
        <w:rPr>
          <w:rFonts w:ascii="Times New Roman" w:hAnsi="Times New Roman" w:cs="Times New Roman"/>
          <w:b/>
          <w:sz w:val="28"/>
          <w:szCs w:val="28"/>
          <w:lang w:val="en-US"/>
        </w:rPr>
      </w:pPr>
      <w:r w:rsidRPr="0048290D">
        <w:rPr>
          <w:rFonts w:ascii="Times New Roman" w:hAnsi="Times New Roman" w:cs="Times New Roman"/>
          <w:b/>
          <w:sz w:val="28"/>
          <w:szCs w:val="28"/>
          <w:lang w:val="en-US"/>
        </w:rPr>
        <w:t>ON THE CONCEPT OF DIGITAL FINANCIAL ASSETS IN THE CONDITIONS OF MODERN REALITIES: FINANCIAL AND LEGAL ASPECTS</w:t>
      </w:r>
      <w:bookmarkEnd w:id="5"/>
    </w:p>
    <w:p w14:paraId="5EDEDA62" w14:textId="77777777" w:rsidR="00E05DA3" w:rsidRDefault="00E05DA3" w:rsidP="00E05DA3">
      <w:pPr>
        <w:spacing w:after="0" w:line="360" w:lineRule="auto"/>
        <w:ind w:firstLine="709"/>
        <w:jc w:val="both"/>
        <w:rPr>
          <w:rFonts w:ascii="Times New Roman" w:hAnsi="Times New Roman" w:cs="Times New Roman"/>
          <w:sz w:val="28"/>
          <w:szCs w:val="28"/>
          <w:lang w:val="en-US"/>
        </w:rPr>
      </w:pPr>
      <w:r w:rsidRPr="001D23DE">
        <w:rPr>
          <w:rFonts w:ascii="Times New Roman" w:hAnsi="Times New Roman" w:cs="Times New Roman"/>
          <w:sz w:val="28"/>
          <w:szCs w:val="28"/>
          <w:lang w:val="en-US"/>
        </w:rPr>
        <w:t>This</w:t>
      </w:r>
      <w:r w:rsidRPr="003E2B3E">
        <w:rPr>
          <w:rFonts w:ascii="Times New Roman" w:hAnsi="Times New Roman" w:cs="Times New Roman"/>
          <w:sz w:val="28"/>
          <w:szCs w:val="28"/>
          <w:lang w:val="en-US"/>
        </w:rPr>
        <w:t xml:space="preserve"> article reveals the issues of the current state of legal regulation of digital financial assets. There are a lot of questions concerning the definition of a number of technologies that are actively used in international and national financial systems. These include mining, NFT, centralized and decentralized cryptocurrency exchanges, cryptocurrency, tokenized shares, etc. The authors pay attention to the current problems that exist in connection with the advance of public relations of the main aspects of legal regulation. The existing normative acts regulate already fully developed financial and civil relations, in which individuals and legal entities actively participate, only in the abstract form. Digital financial assets represent a new phenomenon in the global financial market. The Russian Federation is distinguished by the initial stage of legal regulation of blockchain and related events. The basis for the development of the digital financial assets market is created thanks to financial and legal regulation, as well as the development of the civil legal framework, thanks to which clarity is introduced for participants in new public relations. Fraud and corrupt actions of various participants in public relations are becoming widespread in conditions of insufficient legal regulation. The purpose of this study is to draw attention to the current gaps in legal regulation, due to which the user of digital financial assets suffers. At the moment, it is necessary to make additions and amendments to the legislation regulating the procedure for the turnover of digital financial assets. The state in the conditions of international </w:t>
      </w:r>
      <w:r w:rsidRPr="003E2B3E">
        <w:rPr>
          <w:rFonts w:ascii="Times New Roman" w:hAnsi="Times New Roman" w:cs="Times New Roman"/>
          <w:sz w:val="28"/>
          <w:szCs w:val="28"/>
          <w:lang w:val="en-US"/>
        </w:rPr>
        <w:lastRenderedPageBreak/>
        <w:t>sanctions needs to create a new mechanism for the functioning of the financial system of the Russian Federation. Cross-border financial transfers are becoming a necessity that can be implemented only through the introduction of blockchain at the official level as a technology that can change the speed and quality of the functioning of the financial system. The digital ruble is the basis for the implementation of the global financial objectives of the Russian Federation.</w:t>
      </w:r>
    </w:p>
    <w:p w14:paraId="266CC050" w14:textId="77777777" w:rsidR="00E05DA3" w:rsidRPr="004C4FDB" w:rsidRDefault="00E05DA3" w:rsidP="00E05DA3">
      <w:pPr>
        <w:spacing w:after="0" w:line="360" w:lineRule="auto"/>
        <w:ind w:firstLine="709"/>
        <w:jc w:val="both"/>
        <w:rPr>
          <w:rFonts w:ascii="Times New Roman" w:hAnsi="Times New Roman" w:cs="Times New Roman"/>
          <w:sz w:val="28"/>
          <w:szCs w:val="28"/>
          <w:lang w:val="en-US"/>
        </w:rPr>
      </w:pPr>
      <w:r w:rsidRPr="004C4FDB">
        <w:rPr>
          <w:rFonts w:ascii="Times New Roman" w:hAnsi="Times New Roman" w:cs="Times New Roman"/>
          <w:b/>
          <w:sz w:val="28"/>
          <w:szCs w:val="28"/>
          <w:lang w:val="en-US"/>
        </w:rPr>
        <w:t>Key</w:t>
      </w:r>
      <w:r>
        <w:rPr>
          <w:rFonts w:ascii="Times New Roman" w:hAnsi="Times New Roman" w:cs="Times New Roman"/>
          <w:b/>
          <w:sz w:val="28"/>
          <w:szCs w:val="28"/>
          <w:lang w:val="en-US"/>
        </w:rPr>
        <w:t xml:space="preserve"> </w:t>
      </w:r>
      <w:r w:rsidRPr="004C4FDB">
        <w:rPr>
          <w:rFonts w:ascii="Times New Roman" w:hAnsi="Times New Roman" w:cs="Times New Roman"/>
          <w:b/>
          <w:sz w:val="28"/>
          <w:szCs w:val="28"/>
          <w:lang w:val="en-US"/>
        </w:rPr>
        <w:t>words</w:t>
      </w:r>
      <w:r w:rsidRPr="004C4FDB">
        <w:rPr>
          <w:rFonts w:ascii="Times New Roman" w:hAnsi="Times New Roman" w:cs="Times New Roman"/>
          <w:sz w:val="28"/>
          <w:szCs w:val="28"/>
          <w:lang w:val="en-US"/>
        </w:rPr>
        <w:t>: digital financial asset, cryptocurrency, token, digital ruble, financial system.</w:t>
      </w:r>
    </w:p>
    <w:p w14:paraId="3C84165F" w14:textId="44E8DC96" w:rsidR="00DE7391" w:rsidRDefault="00DE7391">
      <w:pPr>
        <w:rPr>
          <w:lang w:val="en-US"/>
        </w:rPr>
      </w:pPr>
    </w:p>
    <w:p w14:paraId="34634F05" w14:textId="60DB3534" w:rsidR="0049736F" w:rsidRDefault="0049736F">
      <w:pPr>
        <w:rPr>
          <w:lang w:val="en-US"/>
        </w:rPr>
      </w:pPr>
    </w:p>
    <w:p w14:paraId="5494E32E" w14:textId="6EDC4D00" w:rsidR="0049736F" w:rsidRDefault="0049736F">
      <w:pPr>
        <w:rPr>
          <w:lang w:val="en-US"/>
        </w:rPr>
      </w:pPr>
    </w:p>
    <w:p w14:paraId="1482EB6B" w14:textId="7D8E296E" w:rsidR="0049736F" w:rsidRDefault="0049736F">
      <w:pPr>
        <w:rPr>
          <w:lang w:val="en-US"/>
        </w:rPr>
      </w:pPr>
    </w:p>
    <w:p w14:paraId="51D85EB1" w14:textId="74B57E58" w:rsidR="0049736F" w:rsidRDefault="0049736F">
      <w:pPr>
        <w:rPr>
          <w:lang w:val="en-US"/>
        </w:rPr>
      </w:pPr>
    </w:p>
    <w:p w14:paraId="71BCF232" w14:textId="78A46EA8" w:rsidR="0049736F" w:rsidRDefault="0049736F">
      <w:pPr>
        <w:rPr>
          <w:lang w:val="en-US"/>
        </w:rPr>
      </w:pPr>
    </w:p>
    <w:p w14:paraId="57362508" w14:textId="53378370" w:rsidR="0049736F" w:rsidRDefault="0049736F">
      <w:pPr>
        <w:rPr>
          <w:lang w:val="en-US"/>
        </w:rPr>
      </w:pPr>
    </w:p>
    <w:p w14:paraId="13BA503C" w14:textId="6DA4BA87" w:rsidR="0049736F" w:rsidRDefault="0049736F">
      <w:pPr>
        <w:rPr>
          <w:lang w:val="en-US"/>
        </w:rPr>
      </w:pPr>
    </w:p>
    <w:p w14:paraId="6394B7BD" w14:textId="5B59C0AC" w:rsidR="0049736F" w:rsidRDefault="0049736F">
      <w:pPr>
        <w:rPr>
          <w:lang w:val="en-US"/>
        </w:rPr>
      </w:pPr>
    </w:p>
    <w:p w14:paraId="1D417FB9" w14:textId="74CD8BA2" w:rsidR="0049736F" w:rsidRDefault="0049736F">
      <w:pPr>
        <w:rPr>
          <w:lang w:val="en-US"/>
        </w:rPr>
      </w:pPr>
    </w:p>
    <w:p w14:paraId="0C72C53C" w14:textId="2A053A2F" w:rsidR="0049736F" w:rsidRDefault="0049736F">
      <w:pPr>
        <w:rPr>
          <w:lang w:val="en-US"/>
        </w:rPr>
      </w:pPr>
    </w:p>
    <w:p w14:paraId="2595D712" w14:textId="006897A6" w:rsidR="0049736F" w:rsidRDefault="0049736F">
      <w:pPr>
        <w:rPr>
          <w:lang w:val="en-US"/>
        </w:rPr>
      </w:pPr>
    </w:p>
    <w:p w14:paraId="478E6112" w14:textId="3C2EB7FF" w:rsidR="0049736F" w:rsidRDefault="0049736F">
      <w:pPr>
        <w:rPr>
          <w:lang w:val="en-US"/>
        </w:rPr>
      </w:pPr>
    </w:p>
    <w:p w14:paraId="67558C4C" w14:textId="57F43792" w:rsidR="0049736F" w:rsidRDefault="0049736F">
      <w:pPr>
        <w:rPr>
          <w:lang w:val="en-US"/>
        </w:rPr>
      </w:pPr>
    </w:p>
    <w:p w14:paraId="4F04AE76" w14:textId="01A5B738" w:rsidR="0049736F" w:rsidRDefault="0049736F">
      <w:pPr>
        <w:rPr>
          <w:lang w:val="en-US"/>
        </w:rPr>
      </w:pPr>
    </w:p>
    <w:p w14:paraId="4D72845C" w14:textId="3D4C8CEC" w:rsidR="0049736F" w:rsidRDefault="0049736F">
      <w:pPr>
        <w:rPr>
          <w:lang w:val="en-US"/>
        </w:rPr>
      </w:pPr>
    </w:p>
    <w:p w14:paraId="3CC71453" w14:textId="3C637EC8" w:rsidR="0049736F" w:rsidRDefault="0049736F">
      <w:pPr>
        <w:rPr>
          <w:lang w:val="en-US"/>
        </w:rPr>
      </w:pPr>
    </w:p>
    <w:p w14:paraId="50039533" w14:textId="347F9780" w:rsidR="0049736F" w:rsidRDefault="0049736F">
      <w:pPr>
        <w:rPr>
          <w:lang w:val="en-US"/>
        </w:rPr>
      </w:pPr>
    </w:p>
    <w:p w14:paraId="1DE3D867" w14:textId="48F1A529" w:rsidR="0049736F" w:rsidRDefault="0049736F">
      <w:pPr>
        <w:rPr>
          <w:lang w:val="en-US"/>
        </w:rPr>
      </w:pPr>
    </w:p>
    <w:p w14:paraId="7959E324" w14:textId="086BE6B3" w:rsidR="0049736F" w:rsidRDefault="0049736F">
      <w:pPr>
        <w:rPr>
          <w:lang w:val="en-US"/>
        </w:rPr>
      </w:pPr>
    </w:p>
    <w:p w14:paraId="2E7E1601" w14:textId="361EE7F3" w:rsidR="0049736F" w:rsidRDefault="0049736F">
      <w:pPr>
        <w:rPr>
          <w:lang w:val="en-US"/>
        </w:rPr>
      </w:pPr>
    </w:p>
    <w:p w14:paraId="5AB528F9" w14:textId="72F1AE2C" w:rsidR="0049736F" w:rsidRDefault="0049736F">
      <w:pPr>
        <w:rPr>
          <w:lang w:val="en-US"/>
        </w:rPr>
      </w:pPr>
    </w:p>
    <w:p w14:paraId="3CB3C665" w14:textId="57CEE6A2" w:rsidR="0049736F" w:rsidRDefault="0049736F">
      <w:pPr>
        <w:rPr>
          <w:lang w:val="en-US"/>
        </w:rPr>
      </w:pPr>
    </w:p>
    <w:p w14:paraId="3772BBCE" w14:textId="479B9757" w:rsidR="0049736F" w:rsidRDefault="0049736F">
      <w:pPr>
        <w:rPr>
          <w:lang w:val="en-US"/>
        </w:rPr>
      </w:pPr>
    </w:p>
    <w:p w14:paraId="0F018101" w14:textId="77777777" w:rsidR="00967C97" w:rsidRDefault="00967C97" w:rsidP="00967C97">
      <w:pPr>
        <w:spacing w:after="0" w:line="240" w:lineRule="auto"/>
        <w:contextualSpacing/>
        <w:jc w:val="center"/>
        <w:rPr>
          <w:rFonts w:ascii="Times New Roman" w:hAnsi="Times New Roman" w:cs="Times New Roman"/>
          <w:b/>
          <w:sz w:val="28"/>
          <w:szCs w:val="28"/>
        </w:rPr>
      </w:pPr>
      <w:r w:rsidRPr="00982D01">
        <w:rPr>
          <w:rFonts w:ascii="Times New Roman" w:hAnsi="Times New Roman" w:cs="Times New Roman"/>
          <w:b/>
          <w:sz w:val="28"/>
          <w:szCs w:val="28"/>
        </w:rPr>
        <w:lastRenderedPageBreak/>
        <w:t>ФИЛОЛОГИЧЕСКИЕ НАУКИ</w:t>
      </w:r>
    </w:p>
    <w:p w14:paraId="47BEBE8F" w14:textId="77777777" w:rsidR="00967C97" w:rsidRDefault="00967C97" w:rsidP="00967C97">
      <w:pPr>
        <w:spacing w:after="0" w:line="240" w:lineRule="auto"/>
        <w:contextualSpacing/>
        <w:jc w:val="center"/>
        <w:rPr>
          <w:rFonts w:ascii="Times New Roman" w:hAnsi="Times New Roman" w:cs="Times New Roman"/>
          <w:b/>
          <w:sz w:val="28"/>
          <w:szCs w:val="28"/>
        </w:rPr>
      </w:pPr>
    </w:p>
    <w:p w14:paraId="7BA15175" w14:textId="77777777" w:rsidR="00967C97" w:rsidRDefault="00967C97" w:rsidP="00967C97">
      <w:pPr>
        <w:spacing w:after="0" w:line="360" w:lineRule="auto"/>
        <w:ind w:firstLine="709"/>
        <w:rPr>
          <w:rFonts w:ascii="Times New Roman" w:eastAsia="Calibri" w:hAnsi="Times New Roman" w:cs="Times New Roman"/>
          <w:b/>
          <w:iCs/>
          <w:sz w:val="28"/>
          <w:szCs w:val="28"/>
          <w:lang w:eastAsia="ru-RU"/>
        </w:rPr>
      </w:pPr>
      <w:r w:rsidRPr="009F536F">
        <w:rPr>
          <w:rFonts w:ascii="Times New Roman" w:eastAsia="Calibri" w:hAnsi="Times New Roman" w:cs="Times New Roman"/>
          <w:b/>
          <w:iCs/>
          <w:sz w:val="28"/>
          <w:szCs w:val="28"/>
          <w:lang w:eastAsia="ru-RU"/>
        </w:rPr>
        <w:t>УДК 81’32</w:t>
      </w:r>
    </w:p>
    <w:p w14:paraId="76BEE9B7" w14:textId="77777777" w:rsidR="00967C97" w:rsidRPr="00092EC3" w:rsidRDefault="00967C97" w:rsidP="00967C97">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CB33B6">
        <w:rPr>
          <w:rFonts w:ascii="Times New Roman" w:eastAsia="Calibri" w:hAnsi="Times New Roman" w:cs="Times New Roman"/>
          <w:b/>
          <w:bCs/>
          <w:sz w:val="28"/>
          <w:szCs w:val="28"/>
        </w:rPr>
        <w:t>10.37493/2409-1030.2022.4.16</w:t>
      </w:r>
    </w:p>
    <w:p w14:paraId="15190732" w14:textId="77777777" w:rsidR="00967C97" w:rsidRPr="009F536F" w:rsidRDefault="00967C97" w:rsidP="00967C97">
      <w:pPr>
        <w:spacing w:after="0" w:line="360" w:lineRule="auto"/>
        <w:ind w:firstLine="709"/>
        <w:jc w:val="right"/>
        <w:rPr>
          <w:rFonts w:ascii="Times New Roman" w:eastAsia="Calibri" w:hAnsi="Times New Roman" w:cs="Times New Roman"/>
          <w:b/>
          <w:bCs/>
          <w:kern w:val="2"/>
          <w:sz w:val="28"/>
          <w:szCs w:val="28"/>
          <w:lang w:eastAsia="ru-RU"/>
        </w:rPr>
      </w:pPr>
      <w:r w:rsidRPr="009F536F">
        <w:rPr>
          <w:rFonts w:ascii="Times New Roman" w:eastAsia="Calibri" w:hAnsi="Times New Roman" w:cs="Times New Roman"/>
          <w:b/>
          <w:bCs/>
          <w:kern w:val="2"/>
          <w:sz w:val="28"/>
          <w:szCs w:val="28"/>
          <w:lang w:eastAsia="ru-RU"/>
        </w:rPr>
        <w:t>С.Н. Бредихин</w:t>
      </w:r>
    </w:p>
    <w:p w14:paraId="7C35CA6C" w14:textId="77777777" w:rsidR="00967C97" w:rsidRPr="009F536F" w:rsidRDefault="00967C97" w:rsidP="00967C97">
      <w:pPr>
        <w:spacing w:after="0" w:line="360" w:lineRule="auto"/>
        <w:ind w:firstLine="709"/>
        <w:jc w:val="right"/>
        <w:rPr>
          <w:rFonts w:ascii="Times New Roman" w:eastAsia="Calibri" w:hAnsi="Times New Roman" w:cs="Times New Roman"/>
          <w:b/>
          <w:bCs/>
          <w:kern w:val="2"/>
          <w:sz w:val="28"/>
          <w:szCs w:val="28"/>
          <w:lang w:eastAsia="ru-RU"/>
        </w:rPr>
      </w:pPr>
      <w:r w:rsidRPr="009F536F">
        <w:rPr>
          <w:rFonts w:ascii="Times New Roman" w:eastAsia="Calibri" w:hAnsi="Times New Roman" w:cs="Times New Roman"/>
          <w:b/>
          <w:bCs/>
          <w:kern w:val="2"/>
          <w:sz w:val="28"/>
          <w:szCs w:val="28"/>
          <w:lang w:eastAsia="ru-RU"/>
        </w:rPr>
        <w:t>О.С. Шибкова</w:t>
      </w:r>
    </w:p>
    <w:p w14:paraId="36A39974" w14:textId="77777777" w:rsidR="00967C97" w:rsidRPr="009F536F" w:rsidRDefault="00967C97" w:rsidP="00967C97">
      <w:pPr>
        <w:spacing w:after="0" w:line="360" w:lineRule="auto"/>
        <w:jc w:val="center"/>
        <w:rPr>
          <w:rFonts w:ascii="Times New Roman" w:eastAsia="Calibri" w:hAnsi="Times New Roman" w:cs="Times New Roman"/>
          <w:b/>
          <w:bCs/>
          <w:iCs/>
          <w:kern w:val="2"/>
          <w:sz w:val="28"/>
          <w:szCs w:val="28"/>
          <w:lang w:eastAsia="ru-RU"/>
        </w:rPr>
      </w:pPr>
      <w:r w:rsidRPr="009F536F">
        <w:rPr>
          <w:rFonts w:ascii="Times New Roman" w:eastAsia="Calibri" w:hAnsi="Times New Roman" w:cs="Times New Roman"/>
          <w:b/>
          <w:bCs/>
          <w:iCs/>
          <w:kern w:val="2"/>
          <w:sz w:val="28"/>
          <w:szCs w:val="28"/>
          <w:lang w:eastAsia="ru-RU"/>
        </w:rPr>
        <w:t xml:space="preserve">РЕФЕРЕНЦИАЛЬНОЕ КОДИРОВАНИЕ КУЛЬТОВЫХ СИМВОЛОВ В ПАРЕМИЯХ РАЗНОСТРУКТУРНЫХ ЯЗЫКОВЫХ СИСТЕМ ВОСТОЧНЫХ ЛИНГВОКУЛЬТУР </w:t>
      </w:r>
    </w:p>
    <w:p w14:paraId="3D42D9AC" w14:textId="77777777" w:rsidR="00967C97" w:rsidRPr="009F536F" w:rsidRDefault="00967C97" w:rsidP="00967C97">
      <w:pPr>
        <w:spacing w:after="0" w:line="360" w:lineRule="auto"/>
        <w:ind w:firstLine="709"/>
        <w:jc w:val="both"/>
        <w:rPr>
          <w:rFonts w:ascii="Times New Roman" w:eastAsia="Calibri" w:hAnsi="Times New Roman" w:cs="Times New Roman"/>
          <w:bCs/>
          <w:sz w:val="28"/>
          <w:szCs w:val="28"/>
          <w:lang w:eastAsia="ru-RU"/>
        </w:rPr>
      </w:pPr>
      <w:r w:rsidRPr="009F536F">
        <w:rPr>
          <w:rFonts w:ascii="Times New Roman" w:eastAsia="Calibri" w:hAnsi="Times New Roman" w:cs="Times New Roman"/>
          <w:bCs/>
          <w:sz w:val="28"/>
          <w:szCs w:val="28"/>
          <w:lang w:eastAsia="ru-RU"/>
        </w:rPr>
        <w:t xml:space="preserve">Настоящая статья посвящена лингвокультурному и психолингвистическому анализу механизмов инкодирования архетипических представлений в процессе вербальной репрезентации. Наиболее репрезентативными в этом плане признаются паремиологические единицы с культовыми компонентами или мифологемами, являющимися результатом наивысшего уровня категоризации и ассоциативной абстракции. В качестве типичных разноструктурных языков для презентации различных оснований категоризации рефлексивной реальности нами избраны тюркские и сино-тибетские (казахский и китайский). Актуальность статьи обусловлена предпринятой в ней попыткой заполнить пробел в компаративном исследовании процессов вербализации архетипических культовых семантем в лингвокультурах основанных на природо-, антропо-, а также социоцентрических позициях мифологизации. На основе последовательного межъязыкового лингвокультурного сопоставления паремий китайского и казахского языков выявляется взаимозависимость референциального инкодирования, основанного на образно-эмотивных аспектах метафорического переноса, и исходных историко-культурных, ареальных и бытийственных компонентов мировоззрения. Целью исследования является определение типологического сходства и этнокультурной специфики механизмов актуализации культовых и мифологических компонентов в разноструктурных языковых системах. Паремиологические единицы отбирались на основе стратифицированной выборки в корпусах национальных </w:t>
      </w:r>
      <w:r w:rsidRPr="009F536F">
        <w:rPr>
          <w:rFonts w:ascii="Times New Roman" w:eastAsia="Calibri" w:hAnsi="Times New Roman" w:cs="Times New Roman"/>
          <w:bCs/>
          <w:sz w:val="28"/>
          <w:szCs w:val="28"/>
          <w:lang w:eastAsia="ru-RU"/>
        </w:rPr>
        <w:lastRenderedPageBreak/>
        <w:t xml:space="preserve">языков с учетом критерия частотности и акцентуации именно мифонимического элементов конструкции. Комплексная методология исследования, включающая сравнительный структурный, типологический, исторический и этимологический методы, дополнена отдельными операциями герменевтико-интерпретативного анализа, способствующего раскрытию конситуативных ассоциатов. Авторы приходят к выводу, что специфический морфотип сино-тибетских языков детерминирует социо- и антропоцентрические модели инкодирования культовых и мифологических компонентов, в то время как расчлененный тип категоризации агглютинативных тюркских языков демонстрирует примат природоцентрических моделей метафоризации, несмотря на историко-культурную и бытийственную схожесть. </w:t>
      </w:r>
    </w:p>
    <w:p w14:paraId="48A56FDA" w14:textId="77777777" w:rsidR="00967C97" w:rsidRPr="009F536F" w:rsidRDefault="00967C97" w:rsidP="00967C97">
      <w:pPr>
        <w:spacing w:after="0" w:line="360" w:lineRule="auto"/>
        <w:ind w:firstLine="709"/>
        <w:jc w:val="both"/>
        <w:rPr>
          <w:rFonts w:ascii="Times New Roman" w:eastAsia="Calibri" w:hAnsi="Times New Roman" w:cs="Times New Roman"/>
          <w:bCs/>
          <w:sz w:val="28"/>
          <w:szCs w:val="28"/>
          <w:lang w:eastAsia="ru-RU"/>
        </w:rPr>
      </w:pPr>
      <w:r w:rsidRPr="009F536F">
        <w:rPr>
          <w:rFonts w:ascii="Times New Roman" w:eastAsia="Calibri" w:hAnsi="Times New Roman" w:cs="Times New Roman"/>
          <w:b/>
          <w:sz w:val="28"/>
          <w:szCs w:val="28"/>
          <w:lang w:eastAsia="ru-RU"/>
        </w:rPr>
        <w:t xml:space="preserve">Ключевые слова: </w:t>
      </w:r>
      <w:r w:rsidRPr="009F536F">
        <w:rPr>
          <w:rFonts w:ascii="Times New Roman" w:eastAsia="Calibri" w:hAnsi="Times New Roman" w:cs="Times New Roman"/>
          <w:bCs/>
          <w:sz w:val="28"/>
          <w:szCs w:val="28"/>
          <w:lang w:eastAsia="ru-RU"/>
        </w:rPr>
        <w:t xml:space="preserve">лингвокультурология, метафорическая вербализация, паремический состав, архетипические культовые мифологемы, концептуальная и языковая картина мира, схема действования. </w:t>
      </w:r>
    </w:p>
    <w:p w14:paraId="3D34C006" w14:textId="77777777" w:rsidR="00967C97" w:rsidRPr="009F536F" w:rsidRDefault="00967C97" w:rsidP="00967C97">
      <w:pPr>
        <w:spacing w:after="0" w:line="360" w:lineRule="auto"/>
        <w:ind w:firstLine="709"/>
        <w:jc w:val="right"/>
        <w:rPr>
          <w:rFonts w:ascii="Times New Roman" w:eastAsia="Calibri" w:hAnsi="Times New Roman" w:cs="Times New Roman"/>
          <w:b/>
          <w:sz w:val="28"/>
          <w:szCs w:val="28"/>
          <w:lang w:val="en-US" w:eastAsia="ru-RU"/>
        </w:rPr>
      </w:pPr>
      <w:bookmarkStart w:id="6" w:name="_Hlk121867985"/>
      <w:r w:rsidRPr="009F536F">
        <w:rPr>
          <w:rFonts w:ascii="Times New Roman" w:eastAsia="Calibri" w:hAnsi="Times New Roman" w:cs="Times New Roman"/>
          <w:b/>
          <w:sz w:val="28"/>
          <w:szCs w:val="28"/>
          <w:lang w:val="en-US" w:eastAsia="ru-RU"/>
        </w:rPr>
        <w:t>Sergey N. Bredikhin</w:t>
      </w:r>
    </w:p>
    <w:p w14:paraId="2BB77F6C" w14:textId="77777777" w:rsidR="00967C97" w:rsidRPr="009F536F" w:rsidRDefault="00967C97" w:rsidP="00967C97">
      <w:pPr>
        <w:spacing w:after="0" w:line="360" w:lineRule="auto"/>
        <w:ind w:firstLine="709"/>
        <w:jc w:val="right"/>
        <w:rPr>
          <w:rFonts w:ascii="Times New Roman" w:eastAsia="Calibri" w:hAnsi="Times New Roman" w:cs="Times New Roman"/>
          <w:b/>
          <w:sz w:val="28"/>
          <w:szCs w:val="28"/>
          <w:lang w:val="en-US" w:eastAsia="ru-RU"/>
        </w:rPr>
      </w:pPr>
      <w:r w:rsidRPr="009F536F">
        <w:rPr>
          <w:rFonts w:ascii="Times New Roman" w:eastAsia="Calibri" w:hAnsi="Times New Roman" w:cs="Times New Roman"/>
          <w:b/>
          <w:sz w:val="28"/>
          <w:szCs w:val="28"/>
          <w:lang w:val="en-US" w:eastAsia="ru-RU"/>
        </w:rPr>
        <w:t>Oksana S. Shibkova</w:t>
      </w:r>
    </w:p>
    <w:p w14:paraId="39A01286" w14:textId="77777777" w:rsidR="00967C97" w:rsidRPr="009F536F" w:rsidRDefault="00967C97" w:rsidP="00967C97">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r w:rsidRPr="009F536F">
        <w:rPr>
          <w:rFonts w:ascii="Times New Roman" w:eastAsia="Times New Roman" w:hAnsi="Times New Roman" w:cs="Times New Roman"/>
          <w:b/>
          <w:bCs/>
          <w:color w:val="000000"/>
          <w:sz w:val="28"/>
          <w:szCs w:val="28"/>
          <w:lang w:val="en-US" w:eastAsia="ru-RU"/>
        </w:rPr>
        <w:t>REFERENTIAL ENCODING OF CULT SYMBOLS IN THE PAROEMIAS OF LANGUAGE SYSTEMS FEATURING DIFFERENT STRUCTURES AND BELONGING TO EASTERN LINGUOCULTURES</w:t>
      </w:r>
    </w:p>
    <w:bookmarkEnd w:id="6"/>
    <w:p w14:paraId="4CF372AD" w14:textId="77777777" w:rsidR="00967C97" w:rsidRPr="009F536F" w:rsidRDefault="00967C97" w:rsidP="00967C97">
      <w:pPr>
        <w:shd w:val="clear" w:color="auto" w:fill="FFFFFF"/>
        <w:spacing w:after="0" w:line="360" w:lineRule="auto"/>
        <w:jc w:val="center"/>
        <w:rPr>
          <w:rFonts w:ascii="Times New Roman" w:eastAsia="Times New Roman" w:hAnsi="Times New Roman" w:cs="Times New Roman"/>
          <w:color w:val="000000"/>
          <w:sz w:val="24"/>
          <w:szCs w:val="24"/>
          <w:lang w:val="en-US" w:eastAsia="ru-RU"/>
        </w:rPr>
      </w:pPr>
    </w:p>
    <w:p w14:paraId="32832214" w14:textId="77777777" w:rsidR="00967C97" w:rsidRPr="009F536F" w:rsidRDefault="00967C97"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9F536F">
        <w:rPr>
          <w:rFonts w:ascii="Times New Roman" w:eastAsia="Times New Roman" w:hAnsi="Times New Roman" w:cs="Times New Roman"/>
          <w:color w:val="000000"/>
          <w:sz w:val="28"/>
          <w:szCs w:val="28"/>
          <w:lang w:val="en-US" w:eastAsia="ru-RU"/>
        </w:rPr>
        <w:t>Th</w:t>
      </w:r>
      <w:r>
        <w:rPr>
          <w:rFonts w:ascii="Times New Roman" w:eastAsia="Times New Roman" w:hAnsi="Times New Roman" w:cs="Times New Roman"/>
          <w:color w:val="000000"/>
          <w:sz w:val="28"/>
          <w:szCs w:val="28"/>
          <w:lang w:val="en-US" w:eastAsia="ru-RU"/>
        </w:rPr>
        <w:t>e</w:t>
      </w:r>
      <w:r w:rsidRPr="009F536F">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study</w:t>
      </w:r>
      <w:r w:rsidRPr="009F536F">
        <w:rPr>
          <w:rFonts w:ascii="Times New Roman" w:eastAsia="Times New Roman" w:hAnsi="Times New Roman" w:cs="Times New Roman"/>
          <w:color w:val="000000"/>
          <w:sz w:val="28"/>
          <w:szCs w:val="28"/>
          <w:lang w:val="en-US" w:eastAsia="ru-RU"/>
        </w:rPr>
        <w:t xml:space="preserve"> focuses on linguocultural and psycho-linguistic analysis of mechanisms employed to encode archetypal images within the process of verbal representation. The most representative in this case are considered paroemiological units containing cult components or mythologems, which are the result of the top level of categorization and associative abstraction. For a case of typical languages featuring different structures employed to present various bases of reflexive reality categorization, we have opted for Turkic and Sino-Tibetan (Kazakh and Chinese) languages. The relevance of the article relies on an attempt taken in order to fill the gap in the comparative study of verbalization processes for archetypal cult </w:t>
      </w:r>
      <w:r w:rsidRPr="009F536F">
        <w:rPr>
          <w:rFonts w:ascii="Times New Roman" w:eastAsia="Times New Roman" w:hAnsi="Times New Roman" w:cs="Times New Roman"/>
          <w:color w:val="000000"/>
          <w:sz w:val="28"/>
          <w:szCs w:val="28"/>
          <w:lang w:val="en-US" w:eastAsia="ru-RU"/>
        </w:rPr>
        <w:lastRenderedPageBreak/>
        <w:t>semantemes in linguocultures that are based on nature-, anthropo-, as well as sociocentric positions of mythologization.</w:t>
      </w:r>
    </w:p>
    <w:p w14:paraId="6BBF1AD3" w14:textId="77777777" w:rsidR="00967C97" w:rsidRPr="009F536F" w:rsidRDefault="00967C97"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9F536F">
        <w:rPr>
          <w:rFonts w:ascii="Times New Roman" w:eastAsia="Times New Roman" w:hAnsi="Times New Roman" w:cs="Times New Roman"/>
          <w:color w:val="000000"/>
          <w:sz w:val="28"/>
          <w:szCs w:val="28"/>
          <w:lang w:val="en-US" w:eastAsia="ru-RU"/>
        </w:rPr>
        <w:t>The basis of a consistent interlanguage linguocultural comparison involving Chinese and Kazakh paroemias, helps reveal the interdependence of referential encoding based on the figurative and emotive aspects of metaphorical transference, as well as the initial historical-cultural, areal and existential components of the worldview. The aim of this study is to determine the typological similarity and ethno-cultural specifics of the actualization mechanisms for cult and mythological components in language systems of different structures.</w:t>
      </w:r>
    </w:p>
    <w:p w14:paraId="1D750E62" w14:textId="77777777" w:rsidR="00967C97" w:rsidRPr="009F536F" w:rsidRDefault="00967C97"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9F536F">
        <w:rPr>
          <w:rFonts w:ascii="Times New Roman" w:eastAsia="Times New Roman" w:hAnsi="Times New Roman" w:cs="Times New Roman"/>
          <w:color w:val="000000"/>
          <w:sz w:val="28"/>
          <w:szCs w:val="28"/>
          <w:lang w:val="en-US" w:eastAsia="ru-RU"/>
        </w:rPr>
        <w:t>The paroemiological units were selected subject to a stratified sampling in the corpus of national languages, in view of the frequency and accentuation criterion of the structure mythonymic elements. The comprehensive methodology of the study, including comparative structural, typological, historical and etymologica</w:t>
      </w:r>
      <w:r>
        <w:rPr>
          <w:rFonts w:ascii="Times New Roman" w:eastAsia="Times New Roman" w:hAnsi="Times New Roman" w:cs="Times New Roman"/>
          <w:color w:val="000000"/>
          <w:sz w:val="28"/>
          <w:szCs w:val="28"/>
          <w:lang w:val="en-US" w:eastAsia="ru-RU"/>
        </w:rPr>
        <w:t>l methods, is enhanced through</w:t>
      </w:r>
      <w:r w:rsidRPr="009F536F">
        <w:rPr>
          <w:rFonts w:ascii="Times New Roman" w:eastAsia="Times New Roman" w:hAnsi="Times New Roman" w:cs="Times New Roman"/>
          <w:color w:val="000000"/>
          <w:sz w:val="28"/>
          <w:szCs w:val="28"/>
          <w:lang w:val="en-US" w:eastAsia="ru-RU"/>
        </w:rPr>
        <w:t xml:space="preserve"> separate operations of hermeneutic </w:t>
      </w:r>
      <w:r>
        <w:rPr>
          <w:rFonts w:ascii="Times New Roman" w:eastAsia="Times New Roman" w:hAnsi="Times New Roman" w:cs="Times New Roman"/>
          <w:color w:val="000000"/>
          <w:sz w:val="28"/>
          <w:szCs w:val="28"/>
          <w:lang w:val="en-US" w:eastAsia="ru-RU"/>
        </w:rPr>
        <w:t>and</w:t>
      </w:r>
      <w:r w:rsidRPr="009F536F">
        <w:rPr>
          <w:rFonts w:ascii="Times New Roman" w:eastAsia="Times New Roman" w:hAnsi="Times New Roman" w:cs="Times New Roman"/>
          <w:color w:val="000000"/>
          <w:sz w:val="28"/>
          <w:szCs w:val="28"/>
          <w:lang w:val="en-US" w:eastAsia="ru-RU"/>
        </w:rPr>
        <w:t xml:space="preserve"> interpretive analysis, which contributes to the disclosure of consituative associates.</w:t>
      </w:r>
    </w:p>
    <w:p w14:paraId="2EB597A6" w14:textId="77777777" w:rsidR="00967C97" w:rsidRPr="009F536F" w:rsidRDefault="00967C97"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9F536F">
        <w:rPr>
          <w:rFonts w:ascii="Times New Roman" w:eastAsia="Times New Roman" w:hAnsi="Times New Roman" w:cs="Times New Roman"/>
          <w:color w:val="000000"/>
          <w:sz w:val="28"/>
          <w:szCs w:val="28"/>
          <w:lang w:val="en-US" w:eastAsia="ru-RU"/>
        </w:rPr>
        <w:t>The authors conclude that the specific morphotype of Sino-Tibetan languages determines socio- and anthropocentric models of encoding cult and mythological components, whereas the dissected type of categorizing agglutinative Turkic languages points at the primacy of nature-centric models of metaphorization, despite the historical, cultural and existential similarity.</w:t>
      </w:r>
    </w:p>
    <w:p w14:paraId="0787912D" w14:textId="65D34048" w:rsidR="00967C97" w:rsidRDefault="00967C97"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9F536F">
        <w:rPr>
          <w:rFonts w:ascii="Times New Roman" w:eastAsia="Times New Roman" w:hAnsi="Times New Roman" w:cs="Times New Roman"/>
          <w:b/>
          <w:bCs/>
          <w:color w:val="000000"/>
          <w:sz w:val="28"/>
          <w:szCs w:val="28"/>
          <w:lang w:val="en-US" w:eastAsia="ru-RU"/>
        </w:rPr>
        <w:t>Key words:</w:t>
      </w:r>
      <w:r w:rsidRPr="009F536F">
        <w:rPr>
          <w:rFonts w:ascii="Times New Roman" w:eastAsia="Times New Roman" w:hAnsi="Times New Roman" w:cs="Times New Roman"/>
          <w:b/>
          <w:bCs/>
          <w:i/>
          <w:iCs/>
          <w:color w:val="000000"/>
          <w:sz w:val="28"/>
          <w:szCs w:val="28"/>
          <w:lang w:val="en-US" w:eastAsia="ru-RU"/>
        </w:rPr>
        <w:t xml:space="preserve"> </w:t>
      </w:r>
      <w:r w:rsidRPr="009F536F">
        <w:rPr>
          <w:rFonts w:ascii="Times New Roman" w:eastAsia="Times New Roman" w:hAnsi="Times New Roman" w:cs="Times New Roman"/>
          <w:color w:val="000000"/>
          <w:sz w:val="28"/>
          <w:szCs w:val="28"/>
          <w:lang w:val="en-US" w:eastAsia="ru-RU"/>
        </w:rPr>
        <w:t>linguoculture, metaphoric verbalization, paroemic composition, archetypal cult mythologems, concept- and language-base worldview, action scheme.</w:t>
      </w:r>
    </w:p>
    <w:p w14:paraId="7455E724" w14:textId="1FAC1019" w:rsidR="00F2405D" w:rsidRDefault="00F2405D" w:rsidP="00967C9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p>
    <w:p w14:paraId="4A9FADFF" w14:textId="77777777" w:rsidR="00D517FB" w:rsidRDefault="00D517FB" w:rsidP="00D517FB">
      <w:pPr>
        <w:spacing w:after="0" w:line="360" w:lineRule="auto"/>
        <w:rPr>
          <w:rFonts w:ascii="Times New Roman" w:hAnsi="Times New Roman" w:cs="Times New Roman"/>
          <w:b/>
          <w:bCs/>
          <w:sz w:val="28"/>
          <w:szCs w:val="28"/>
        </w:rPr>
      </w:pPr>
      <w:r w:rsidRPr="001366F6">
        <w:rPr>
          <w:rFonts w:ascii="Times New Roman" w:hAnsi="Times New Roman" w:cs="Times New Roman"/>
          <w:b/>
          <w:bCs/>
          <w:sz w:val="28"/>
          <w:szCs w:val="28"/>
        </w:rPr>
        <w:t>УДК 81’42</w:t>
      </w:r>
    </w:p>
    <w:p w14:paraId="6AE2ECC5" w14:textId="77777777" w:rsidR="00D517FB" w:rsidRPr="00092EC3" w:rsidRDefault="00D517FB" w:rsidP="00D517FB">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BD6884">
        <w:rPr>
          <w:rFonts w:ascii="Times New Roman" w:eastAsia="Calibri" w:hAnsi="Times New Roman" w:cs="Times New Roman"/>
          <w:b/>
          <w:bCs/>
          <w:sz w:val="28"/>
          <w:szCs w:val="28"/>
        </w:rPr>
        <w:t>10.37493/2409-1030.2022.4.17</w:t>
      </w:r>
    </w:p>
    <w:p w14:paraId="1EA2394E" w14:textId="77777777" w:rsidR="00D517FB" w:rsidRPr="007307D8" w:rsidRDefault="00D517FB" w:rsidP="00D517FB">
      <w:pPr>
        <w:spacing w:after="0" w:line="360" w:lineRule="auto"/>
        <w:jc w:val="right"/>
        <w:rPr>
          <w:rFonts w:ascii="Times New Roman" w:hAnsi="Times New Roman" w:cs="Times New Roman"/>
          <w:b/>
          <w:bCs/>
          <w:sz w:val="28"/>
          <w:szCs w:val="28"/>
        </w:rPr>
      </w:pPr>
      <w:r w:rsidRPr="007307D8">
        <w:rPr>
          <w:rFonts w:ascii="Times New Roman" w:hAnsi="Times New Roman" w:cs="Times New Roman"/>
          <w:b/>
          <w:bCs/>
          <w:sz w:val="28"/>
          <w:szCs w:val="28"/>
        </w:rPr>
        <w:t xml:space="preserve">С.В. Гусаренко </w:t>
      </w:r>
    </w:p>
    <w:p w14:paraId="507D2300" w14:textId="77777777" w:rsidR="00D517FB" w:rsidRPr="007307D8" w:rsidRDefault="00D517FB" w:rsidP="00D517FB">
      <w:pPr>
        <w:spacing w:after="0" w:line="360" w:lineRule="auto"/>
        <w:jc w:val="right"/>
        <w:rPr>
          <w:rFonts w:ascii="Times New Roman" w:hAnsi="Times New Roman" w:cs="Times New Roman"/>
          <w:b/>
          <w:bCs/>
          <w:sz w:val="28"/>
          <w:szCs w:val="28"/>
        </w:rPr>
      </w:pPr>
      <w:r w:rsidRPr="007307D8">
        <w:rPr>
          <w:rFonts w:ascii="Times New Roman" w:hAnsi="Times New Roman" w:cs="Times New Roman"/>
          <w:b/>
          <w:bCs/>
          <w:sz w:val="28"/>
          <w:szCs w:val="28"/>
        </w:rPr>
        <w:t xml:space="preserve">М.К. Гусаренко </w:t>
      </w:r>
    </w:p>
    <w:p w14:paraId="6BB4A3A5" w14:textId="77777777" w:rsidR="00D517FB" w:rsidRPr="007307D8" w:rsidRDefault="00D517FB" w:rsidP="00D517FB">
      <w:pPr>
        <w:spacing w:after="0" w:line="360" w:lineRule="auto"/>
        <w:jc w:val="center"/>
        <w:rPr>
          <w:rFonts w:ascii="Times New Roman" w:hAnsi="Times New Roman" w:cs="Times New Roman"/>
          <w:b/>
          <w:bCs/>
          <w:sz w:val="28"/>
          <w:szCs w:val="28"/>
        </w:rPr>
      </w:pPr>
      <w:r w:rsidRPr="007307D8">
        <w:rPr>
          <w:rFonts w:ascii="Times New Roman" w:hAnsi="Times New Roman" w:cs="Times New Roman"/>
          <w:b/>
          <w:bCs/>
          <w:sz w:val="28"/>
          <w:szCs w:val="28"/>
        </w:rPr>
        <w:t xml:space="preserve">О КОРПУСЕ РЕЧЕВЫХ ОБРАЗЦОВ С ОШИБКАМИ В УПОТРЕБЛЕНИИ РУССКОГО ЯЗЫКА КАК ИНОСТРАННОГО: </w:t>
      </w:r>
      <w:r w:rsidRPr="007307D8">
        <w:rPr>
          <w:rFonts w:ascii="Times New Roman" w:hAnsi="Times New Roman" w:cs="Times New Roman"/>
          <w:b/>
          <w:bCs/>
          <w:sz w:val="28"/>
          <w:szCs w:val="28"/>
        </w:rPr>
        <w:lastRenderedPageBreak/>
        <w:t>СПОСОБЫ ПРЕДСТАВЛЕНИЯ ДАННЫХ И ПАРАМЕТРЫ ГЛУБИННОЙ РАЗМЕТКИ</w:t>
      </w:r>
    </w:p>
    <w:p w14:paraId="0BF6D952" w14:textId="77777777" w:rsidR="00D517FB" w:rsidRPr="001366F6" w:rsidRDefault="00D517FB" w:rsidP="00D517FB">
      <w:pPr>
        <w:spacing w:after="0" w:line="360" w:lineRule="auto"/>
        <w:ind w:firstLine="709"/>
        <w:jc w:val="both"/>
        <w:rPr>
          <w:rFonts w:ascii="Times New Roman" w:hAnsi="Times New Roman" w:cs="Times New Roman"/>
          <w:sz w:val="28"/>
          <w:szCs w:val="28"/>
        </w:rPr>
      </w:pPr>
      <w:r w:rsidRPr="001366F6">
        <w:rPr>
          <w:rFonts w:ascii="Times New Roman" w:hAnsi="Times New Roman" w:cs="Times New Roman"/>
          <w:sz w:val="28"/>
          <w:szCs w:val="28"/>
        </w:rPr>
        <w:t xml:space="preserve">Цель исследования, результаты которого представлены в статье, состоит в разработке оптимального состава и способа представления данных в разрабатываемом корпусе русских речевых образцов с ошибками, допущенными иностранными обучающимися. Разработка такого корпуса обусловлена, во-первых, необходимостью научного описания ошибочных языковых выражений, как подвергаются описанию в настоящее время все значимые факты применения языка, во-вторых, необходимостью создания в лингводидактических целях единой базы систематизированных данных об ошибках в речи изучающих русский язык. Создание такого корпуса требует глубинного описания ошибок в речи, поэтому в настоящей статье предлагается  описывать ошибочное языковое выражение как нарушение определенной языковой нормы, определенной семантической, морфологической, синтаксической или лексической языковой модели, лежащей в основе нормативно правильного выражения, с указанием вида речевой деятельности, речевой ситуации, родного языка, специальности обучающегося. В рамках поставленной задачи по созданию корпуса ошибка понимается как сбой на определенном уровне порождения речи, поэтому в основу модели описания ошибок положена модель описания языковых выражений, разработанная отечественными исследователями при создании толково-комбинаторного словаря. Предлагаемая в статье модель глубинного аннотирования ошибочных выражений включает схематизированные модели семантического представления, синтаксической и лексической сочетаемости (в зависимости от характера ошибки) языкового выражения, что призвано, с одной стороны, точно локализовать ошибку в употреблении языка, с другой – послужить учебным материалом в лингводидактике. Сделан вывод, что при достижении статистически значимого количества аннотированных образцов с ошибками в русской речи, допущенными иностранными обучающимися, данные корпуса вполне могут использоваться как источник эмпирических </w:t>
      </w:r>
      <w:r w:rsidRPr="001366F6">
        <w:rPr>
          <w:rFonts w:ascii="Times New Roman" w:hAnsi="Times New Roman" w:cs="Times New Roman"/>
          <w:sz w:val="28"/>
          <w:szCs w:val="28"/>
        </w:rPr>
        <w:lastRenderedPageBreak/>
        <w:t>данных для комплексного научного описания фактов языковой действительности. Также сделан вывод, что для жизнеспособности предлагаемого корпуса он должен представлять собой открытую систему, предполагающую включение в глубинное аннотирование</w:t>
      </w:r>
      <w:r>
        <w:rPr>
          <w:rFonts w:ascii="Times New Roman" w:hAnsi="Times New Roman" w:cs="Times New Roman"/>
          <w:sz w:val="28"/>
          <w:szCs w:val="28"/>
        </w:rPr>
        <w:t xml:space="preserve"> новых параметров описания.</w:t>
      </w:r>
    </w:p>
    <w:p w14:paraId="17FBD351" w14:textId="77777777" w:rsidR="00D517FB" w:rsidRPr="001366F6" w:rsidRDefault="00D517FB" w:rsidP="00D517FB">
      <w:pPr>
        <w:spacing w:after="0" w:line="360" w:lineRule="auto"/>
        <w:ind w:firstLine="709"/>
        <w:jc w:val="both"/>
        <w:rPr>
          <w:rFonts w:ascii="Times New Roman" w:hAnsi="Times New Roman" w:cs="Times New Roman"/>
          <w:sz w:val="28"/>
          <w:szCs w:val="28"/>
        </w:rPr>
      </w:pPr>
      <w:r w:rsidRPr="00AA4104">
        <w:rPr>
          <w:rFonts w:ascii="Times New Roman" w:hAnsi="Times New Roman" w:cs="Times New Roman"/>
          <w:b/>
          <w:bCs/>
          <w:sz w:val="28"/>
          <w:szCs w:val="28"/>
        </w:rPr>
        <w:t xml:space="preserve">Ключевые слова: </w:t>
      </w:r>
      <w:r w:rsidRPr="001366F6">
        <w:rPr>
          <w:rFonts w:ascii="Times New Roman" w:hAnsi="Times New Roman" w:cs="Times New Roman"/>
          <w:sz w:val="28"/>
          <w:szCs w:val="28"/>
        </w:rPr>
        <w:t>корпус, речевая ошибка, глубинное аннотирование, параметры разметки.</w:t>
      </w:r>
    </w:p>
    <w:p w14:paraId="515EA2BC" w14:textId="77777777" w:rsidR="00D517FB" w:rsidRPr="00B163B3" w:rsidRDefault="00D517FB" w:rsidP="00D517FB">
      <w:pPr>
        <w:spacing w:after="0" w:line="360" w:lineRule="auto"/>
        <w:ind w:firstLine="709"/>
        <w:jc w:val="right"/>
        <w:rPr>
          <w:rFonts w:ascii="Times New Roman" w:hAnsi="Times New Roman" w:cs="Times New Roman"/>
          <w:b/>
          <w:bCs/>
          <w:sz w:val="28"/>
          <w:szCs w:val="28"/>
          <w:lang w:val="en-US"/>
        </w:rPr>
      </w:pPr>
      <w:bookmarkStart w:id="7" w:name="_Hlk121868056"/>
      <w:r>
        <w:rPr>
          <w:rFonts w:ascii="Times New Roman" w:hAnsi="Times New Roman" w:cs="Times New Roman"/>
          <w:b/>
          <w:bCs/>
          <w:sz w:val="28"/>
          <w:szCs w:val="28"/>
          <w:lang w:val="en-US"/>
        </w:rPr>
        <w:t>Sergey</w:t>
      </w:r>
      <w:r w:rsidRPr="00B163B3">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w:t>
      </w:r>
      <w:r w:rsidRPr="00B163B3">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Gusarenko</w:t>
      </w:r>
    </w:p>
    <w:p w14:paraId="3695D9C5" w14:textId="77777777" w:rsidR="00D517FB" w:rsidRPr="001366F6" w:rsidRDefault="00D517FB" w:rsidP="00D517FB">
      <w:pPr>
        <w:spacing w:after="0" w:line="360" w:lineRule="auto"/>
        <w:ind w:firstLine="709"/>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Marina K. Gusarenko</w:t>
      </w:r>
    </w:p>
    <w:p w14:paraId="2DD01B61" w14:textId="77777777" w:rsidR="00D517FB" w:rsidRPr="00AA4104" w:rsidRDefault="00D517FB" w:rsidP="00D517FB">
      <w:pPr>
        <w:spacing w:after="0" w:line="360" w:lineRule="auto"/>
        <w:ind w:firstLine="709"/>
        <w:jc w:val="center"/>
        <w:rPr>
          <w:rFonts w:ascii="Times New Roman" w:hAnsi="Times New Roman" w:cs="Times New Roman"/>
          <w:b/>
          <w:bCs/>
          <w:sz w:val="28"/>
          <w:szCs w:val="28"/>
          <w:lang w:val="en-US"/>
        </w:rPr>
      </w:pPr>
      <w:r w:rsidRPr="00AA4104">
        <w:rPr>
          <w:rFonts w:ascii="Times New Roman" w:hAnsi="Times New Roman" w:cs="Times New Roman"/>
          <w:b/>
          <w:bCs/>
          <w:sz w:val="28"/>
          <w:szCs w:val="28"/>
          <w:lang w:val="en-US"/>
        </w:rPr>
        <w:t>ON THE CORPUS OF SPEECH SAMPLES WITH ERRORS IN THE USE OF RUSSIAN AS A FOREIGN LANGUAGE: METHODS OF DATA REPRESENTATION AND DEEP MARKUP PARAMETERS</w:t>
      </w:r>
    </w:p>
    <w:bookmarkEnd w:id="7"/>
    <w:p w14:paraId="23B736A6" w14:textId="77777777" w:rsidR="00D517FB" w:rsidRPr="00072C6C" w:rsidRDefault="00D517FB" w:rsidP="00D517FB">
      <w:pPr>
        <w:spacing w:after="0" w:line="360" w:lineRule="auto"/>
        <w:ind w:firstLine="709"/>
        <w:jc w:val="both"/>
        <w:rPr>
          <w:rFonts w:ascii="Times New Roman" w:hAnsi="Times New Roman" w:cs="Times New Roman"/>
          <w:bCs/>
          <w:sz w:val="28"/>
          <w:szCs w:val="28"/>
          <w:lang w:val="en-US"/>
        </w:rPr>
      </w:pPr>
      <w:r w:rsidRPr="00072C6C">
        <w:rPr>
          <w:rFonts w:ascii="Times New Roman" w:hAnsi="Times New Roman" w:cs="Times New Roman"/>
          <w:bCs/>
          <w:sz w:val="28"/>
          <w:szCs w:val="28"/>
          <w:lang w:val="en-US"/>
        </w:rPr>
        <w:t xml:space="preserve">The purpose of the study, the results of which are presented in the article, is to develop the optimal composition and method of presenting data in the developed corpus of Russian speech samples with errors made by foreign students. The development of such a corpus is conditioned, firstly, by the need for a scientific description of erroneous linguistic expressions, as all significant facts of the use of the language are currently being described, and secondly, by the need to create a unified database of systematized data on errors in the speech of Russian language learners for linguodidactic purposes. The creation of such a corpus requires an in-depth description of errors in speech, therefore, in this article, it is proposed to describe an erroneous linguistic expression as a violation of a certain language norm, a certain semantic, morphological, syntactic or lexical language model underlying the normatively correct expression, indicating the type of speech activity, speech situation, native language, specialty of the student. Within the framework of the task of creating a corpus, an error is understood as a failure at a certain level of speech generation, therefore, the model for describing errors is based on the model for describing language expressions developed by domestic researchers when creating an explanatory-combinatorial dictionary. The model of deep annotation of erroneous expressions proposed in the article includes schematized models of semantic </w:t>
      </w:r>
      <w:r w:rsidRPr="00072C6C">
        <w:rPr>
          <w:rFonts w:ascii="Times New Roman" w:hAnsi="Times New Roman" w:cs="Times New Roman"/>
          <w:bCs/>
          <w:sz w:val="28"/>
          <w:szCs w:val="28"/>
          <w:lang w:val="en-US"/>
        </w:rPr>
        <w:lastRenderedPageBreak/>
        <w:t>representation, syntactic and lexical compatibility (depending on the nature of the error) of a linguistic expression, which is intended, on the one hand, to accurately localize the error in the use of the language, on the other hand, to serve as educational material in linguodidactics. It is concluded that when a statistically significant number of annotated samples with errors in Russian speech made by foreign students is reached, these corpora may well be used as a source of empirical data for a comprehensive scientific description of the facts of linguistic reality. It was also concluded that for the proposed corpus to be viable, it must be an open system that involves the inclusion of new description parameters in deep annotation.</w:t>
      </w:r>
    </w:p>
    <w:p w14:paraId="46B8530C" w14:textId="77777777" w:rsidR="00D517FB" w:rsidRPr="00AA4104" w:rsidRDefault="00D517FB" w:rsidP="00D517FB">
      <w:pPr>
        <w:spacing w:after="0" w:line="360" w:lineRule="auto"/>
        <w:ind w:firstLine="709"/>
        <w:jc w:val="both"/>
        <w:rPr>
          <w:rFonts w:ascii="Times New Roman" w:hAnsi="Times New Roman" w:cs="Times New Roman"/>
          <w:b/>
          <w:bCs/>
          <w:sz w:val="28"/>
          <w:szCs w:val="28"/>
          <w:lang w:val="en-US"/>
        </w:rPr>
      </w:pPr>
      <w:r w:rsidRPr="00AA4104">
        <w:rPr>
          <w:rFonts w:ascii="Times New Roman" w:hAnsi="Times New Roman" w:cs="Times New Roman"/>
          <w:b/>
          <w:bCs/>
          <w:sz w:val="28"/>
          <w:szCs w:val="28"/>
          <w:lang w:val="en-US"/>
        </w:rPr>
        <w:t xml:space="preserve">Key words: </w:t>
      </w:r>
      <w:r w:rsidRPr="00072C6C">
        <w:rPr>
          <w:rFonts w:ascii="Times New Roman" w:hAnsi="Times New Roman" w:cs="Times New Roman"/>
          <w:bCs/>
          <w:sz w:val="28"/>
          <w:szCs w:val="28"/>
          <w:lang w:val="en-US"/>
        </w:rPr>
        <w:t>corpus, speech error, deep annotation, markup parameters.</w:t>
      </w:r>
    </w:p>
    <w:p w14:paraId="26F26062" w14:textId="77777777" w:rsidR="00F2405D" w:rsidRPr="009F536F" w:rsidRDefault="00F2405D" w:rsidP="00967C97">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14:paraId="68A8104F" w14:textId="77777777" w:rsidR="00565E86" w:rsidRPr="008D09AE" w:rsidRDefault="00565E86" w:rsidP="00565E86">
      <w:pPr>
        <w:spacing w:after="0" w:line="360" w:lineRule="auto"/>
        <w:contextualSpacing/>
        <w:jc w:val="both"/>
        <w:rPr>
          <w:rFonts w:ascii="Times New Roman" w:eastAsia="Times New Roman" w:hAnsi="Times New Roman" w:cs="Times New Roman"/>
          <w:b/>
          <w:bCs/>
          <w:sz w:val="28"/>
          <w:szCs w:val="28"/>
          <w:lang w:eastAsia="ru-RU"/>
        </w:rPr>
      </w:pPr>
      <w:r w:rsidRPr="008D09AE">
        <w:rPr>
          <w:rFonts w:ascii="Times New Roman" w:eastAsia="Times New Roman" w:hAnsi="Times New Roman" w:cs="Times New Roman"/>
          <w:b/>
          <w:bCs/>
          <w:sz w:val="28"/>
          <w:szCs w:val="28"/>
          <w:lang w:eastAsia="ru-RU"/>
        </w:rPr>
        <w:t>УДК 81’33</w:t>
      </w:r>
    </w:p>
    <w:p w14:paraId="12869991" w14:textId="77777777" w:rsidR="00565E86" w:rsidRPr="00092EC3" w:rsidRDefault="00565E86" w:rsidP="00565E86">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BC6241">
        <w:rPr>
          <w:rFonts w:ascii="Times New Roman" w:eastAsia="Calibri" w:hAnsi="Times New Roman" w:cs="Times New Roman"/>
          <w:b/>
          <w:bCs/>
          <w:sz w:val="28"/>
          <w:szCs w:val="28"/>
        </w:rPr>
        <w:t>10.37493/2409-1030.2022.4.18</w:t>
      </w:r>
    </w:p>
    <w:p w14:paraId="50BE149C" w14:textId="77777777" w:rsidR="00565E86" w:rsidRPr="008D09AE" w:rsidRDefault="00565E86" w:rsidP="00565E86">
      <w:pPr>
        <w:spacing w:after="0" w:line="360" w:lineRule="auto"/>
        <w:ind w:firstLine="709"/>
        <w:contextualSpacing/>
        <w:jc w:val="right"/>
        <w:rPr>
          <w:rFonts w:ascii="Times New Roman" w:eastAsia="Times New Roman" w:hAnsi="Times New Roman" w:cs="Times New Roman"/>
          <w:b/>
          <w:bCs/>
          <w:kern w:val="2"/>
          <w:sz w:val="28"/>
          <w:szCs w:val="28"/>
          <w:lang w:eastAsia="ru-RU"/>
        </w:rPr>
      </w:pPr>
      <w:r w:rsidRPr="008D09AE">
        <w:rPr>
          <w:rFonts w:ascii="Times New Roman" w:eastAsia="Times New Roman" w:hAnsi="Times New Roman" w:cs="Times New Roman"/>
          <w:b/>
          <w:bCs/>
          <w:kern w:val="2"/>
          <w:sz w:val="28"/>
          <w:szCs w:val="28"/>
          <w:lang w:eastAsia="ru-RU"/>
        </w:rPr>
        <w:t>А.А. Лиховид</w:t>
      </w:r>
    </w:p>
    <w:p w14:paraId="272982B5" w14:textId="77777777" w:rsidR="00565E86" w:rsidRPr="008D09AE" w:rsidRDefault="00565E86" w:rsidP="00565E86">
      <w:pPr>
        <w:spacing w:after="0" w:line="360" w:lineRule="auto"/>
        <w:contextualSpacing/>
        <w:jc w:val="center"/>
        <w:rPr>
          <w:rFonts w:ascii="Times New Roman" w:eastAsia="Times New Roman" w:hAnsi="Times New Roman" w:cs="Times New Roman"/>
          <w:b/>
          <w:bCs/>
          <w:kern w:val="2"/>
          <w:sz w:val="28"/>
          <w:szCs w:val="28"/>
          <w:lang w:eastAsia="ru-RU"/>
        </w:rPr>
      </w:pPr>
      <w:r w:rsidRPr="008D09AE">
        <w:rPr>
          <w:rFonts w:ascii="Times New Roman" w:eastAsia="Times New Roman" w:hAnsi="Times New Roman" w:cs="Times New Roman"/>
          <w:b/>
          <w:bCs/>
          <w:kern w:val="2"/>
          <w:sz w:val="28"/>
          <w:szCs w:val="28"/>
          <w:lang w:eastAsia="ru-RU"/>
        </w:rPr>
        <w:t>О СЛОЖНОСТЯХ ХУДОЖЕСТВЕННОГО ПЕРЕВОДА: НА ГРАНИ МЕЖДУ ТВОРЧЕСКИМ ПЕРЕОСМЫСЛЕНИЕМ И ПЕРЕВОДЧЕСКОЙ ОШИБКОЙ</w:t>
      </w:r>
    </w:p>
    <w:p w14:paraId="7E883204" w14:textId="77777777" w:rsidR="00565E86" w:rsidRPr="008D09AE" w:rsidRDefault="00565E86" w:rsidP="00565E86">
      <w:pPr>
        <w:spacing w:after="0" w:line="360" w:lineRule="auto"/>
        <w:ind w:firstLine="709"/>
        <w:contextualSpacing/>
        <w:jc w:val="both"/>
        <w:rPr>
          <w:rFonts w:ascii="Times New Roman" w:eastAsia="Times New Roman" w:hAnsi="Times New Roman" w:cs="Times New Roman"/>
          <w:sz w:val="28"/>
          <w:szCs w:val="28"/>
          <w:lang w:eastAsia="ru-RU"/>
        </w:rPr>
      </w:pPr>
      <w:r w:rsidRPr="008D09AE">
        <w:rPr>
          <w:rFonts w:ascii="Times New Roman" w:eastAsia="Times New Roman" w:hAnsi="Times New Roman" w:cs="Times New Roman"/>
          <w:sz w:val="28"/>
          <w:szCs w:val="28"/>
          <w:lang w:eastAsia="ru-RU"/>
        </w:rPr>
        <w:t xml:space="preserve">Настоящая статья посвящена изучению сложностей, возникающих в процессе художественного перевода. Аксиоматичен тезис об индивидуально-творческом характере данного вида деятельности, при этом переводчик художественного текста воспринимается как его (со)автор. Данный тезис актуализирует проблему отношений между автором и текстом, а также то, в какой степени литературное произведение является продуктом исключительно индивидуальной когнитивной деятельности. Опираясь на идеи М. Фуко, мы рассматриваем автора (и переводчика как автора) как, в определенной степени, продукт дискурса, в пространстве которого создается произведение. Под дискурсом в данном случае понимается совокупность лингвистических, культурных, политических, религиозных, поведенческих и иных кодов, существующих в обществе на момент написания произведения.  С учетом социально-культурного аспекта функции автора в настоящем </w:t>
      </w:r>
      <w:r w:rsidRPr="008D09AE">
        <w:rPr>
          <w:rFonts w:ascii="Times New Roman" w:eastAsia="Times New Roman" w:hAnsi="Times New Roman" w:cs="Times New Roman"/>
          <w:sz w:val="28"/>
          <w:szCs w:val="28"/>
          <w:lang w:eastAsia="ru-RU"/>
        </w:rPr>
        <w:lastRenderedPageBreak/>
        <w:t>исследовании ставится вопрос, в какой степени различие дискурсов автора оригинала и переводчика-соавтора влияет на создаваемый текст перевода. Случаи, когда переводчик оказывается неспособным декодировать коды культуры-отправителя, приводят к появлению переводческих ошибок, влекущих за собой искажение смысла оригинала, нелогичность причинно-следственных связей повествования и, как следствие, дезинформацию читателя относительно прагматических интенций автора и персонажей.</w:t>
      </w:r>
    </w:p>
    <w:p w14:paraId="49F3C29B" w14:textId="77777777" w:rsidR="00565E86" w:rsidRPr="008D09AE" w:rsidRDefault="00565E86" w:rsidP="00565E86">
      <w:pPr>
        <w:spacing w:after="0" w:line="360" w:lineRule="auto"/>
        <w:ind w:firstLine="709"/>
        <w:contextualSpacing/>
        <w:jc w:val="both"/>
        <w:rPr>
          <w:rFonts w:ascii="Times New Roman" w:eastAsia="Times New Roman" w:hAnsi="Times New Roman" w:cs="Times New Roman"/>
          <w:sz w:val="28"/>
          <w:szCs w:val="28"/>
          <w:lang w:eastAsia="ru-RU"/>
        </w:rPr>
      </w:pPr>
      <w:r w:rsidRPr="008D09AE">
        <w:rPr>
          <w:rFonts w:ascii="Times New Roman" w:eastAsia="Times New Roman" w:hAnsi="Times New Roman" w:cs="Times New Roman"/>
          <w:sz w:val="28"/>
          <w:szCs w:val="28"/>
          <w:lang w:eastAsia="ru-RU"/>
        </w:rPr>
        <w:t xml:space="preserve">Материалом данного исследования послужили текст романа Элизабет Гаскелл «Север и Юг» и два его русскоязычных перевода, акцент при этом сделан на контекстах, представляющих особую сложность при переводе на русский язык в силу наличия в них экстралингвистических факторов: кодов культуры, религиозных течений, поведенческих норм, классовых отношений. В ходе исследования был проведен сравнительно-сопоставительный анализ отобранных элементов с учетом литературного, исторического и лингвистического контекста, что позволило установить причины возникновения переводческих ошибок, определить взаимодействие интра- и экстралингвистических факторов, а также в отдельных случаях предложить свой вариант перевода. Анализ показал неоднозначность феномена переводческой ошибки в контексте художественного перевода в силу различия исходной и целевой лингвокультур. </w:t>
      </w:r>
    </w:p>
    <w:p w14:paraId="277D9797" w14:textId="77777777" w:rsidR="00565E86" w:rsidRDefault="00565E86" w:rsidP="00565E86">
      <w:pPr>
        <w:spacing w:after="0" w:line="360" w:lineRule="auto"/>
        <w:ind w:firstLine="709"/>
        <w:contextualSpacing/>
        <w:jc w:val="both"/>
        <w:rPr>
          <w:rFonts w:ascii="Times New Roman" w:eastAsia="Times New Roman" w:hAnsi="Times New Roman" w:cs="Times New Roman"/>
          <w:sz w:val="28"/>
          <w:szCs w:val="28"/>
          <w:lang w:eastAsia="ru-RU"/>
        </w:rPr>
      </w:pPr>
      <w:r w:rsidRPr="008D09AE">
        <w:rPr>
          <w:rFonts w:ascii="Times New Roman" w:eastAsia="Times New Roman" w:hAnsi="Times New Roman" w:cs="Times New Roman"/>
          <w:b/>
          <w:sz w:val="28"/>
          <w:szCs w:val="28"/>
          <w:lang w:eastAsia="ru-RU"/>
        </w:rPr>
        <w:t>Ключевые слова:</w:t>
      </w:r>
      <w:r w:rsidRPr="008D09AE">
        <w:rPr>
          <w:rFonts w:ascii="Times New Roman" w:eastAsia="Times New Roman" w:hAnsi="Times New Roman" w:cs="Times New Roman"/>
          <w:b/>
          <w:i/>
          <w:iCs/>
          <w:sz w:val="28"/>
          <w:szCs w:val="28"/>
          <w:lang w:eastAsia="ru-RU"/>
        </w:rPr>
        <w:t xml:space="preserve"> </w:t>
      </w:r>
      <w:r w:rsidRPr="008D09AE">
        <w:rPr>
          <w:rFonts w:ascii="Times New Roman" w:eastAsia="Times New Roman" w:hAnsi="Times New Roman" w:cs="Times New Roman"/>
          <w:sz w:val="28"/>
          <w:szCs w:val="28"/>
          <w:lang w:eastAsia="ru-RU"/>
        </w:rPr>
        <w:t>художественный перевод, автор, переводческая ошибка, социально-культурная коннотация, дискурс.</w:t>
      </w:r>
    </w:p>
    <w:p w14:paraId="1C5D54F0" w14:textId="77777777" w:rsidR="00565E86" w:rsidRPr="00B163B3" w:rsidRDefault="00565E86" w:rsidP="00565E86">
      <w:pPr>
        <w:spacing w:after="0" w:line="360" w:lineRule="auto"/>
        <w:ind w:firstLine="709"/>
        <w:contextualSpacing/>
        <w:jc w:val="right"/>
        <w:rPr>
          <w:rFonts w:ascii="Times New Roman" w:eastAsia="Times New Roman" w:hAnsi="Times New Roman" w:cs="Times New Roman"/>
          <w:b/>
          <w:sz w:val="28"/>
          <w:szCs w:val="28"/>
          <w:lang w:val="en-US" w:eastAsia="ru-RU"/>
        </w:rPr>
      </w:pPr>
      <w:bookmarkStart w:id="8" w:name="_Hlk121868141"/>
      <w:r w:rsidRPr="008D09AE">
        <w:rPr>
          <w:rFonts w:ascii="Times New Roman" w:eastAsia="Times New Roman" w:hAnsi="Times New Roman" w:cs="Times New Roman"/>
          <w:b/>
          <w:sz w:val="28"/>
          <w:szCs w:val="28"/>
          <w:lang w:val="en-US" w:eastAsia="ru-RU"/>
        </w:rPr>
        <w:t>Angelina</w:t>
      </w:r>
      <w:r w:rsidRPr="00B163B3">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val="en-US" w:eastAsia="ru-RU"/>
        </w:rPr>
        <w:t>A</w:t>
      </w:r>
      <w:r w:rsidRPr="00B163B3">
        <w:rPr>
          <w:rFonts w:ascii="Times New Roman" w:eastAsia="Times New Roman" w:hAnsi="Times New Roman" w:cs="Times New Roman"/>
          <w:b/>
          <w:sz w:val="28"/>
          <w:szCs w:val="28"/>
          <w:lang w:val="en-US" w:eastAsia="ru-RU"/>
        </w:rPr>
        <w:t xml:space="preserve">. </w:t>
      </w:r>
      <w:r w:rsidRPr="008D09AE">
        <w:rPr>
          <w:rFonts w:ascii="Times New Roman" w:eastAsia="Times New Roman" w:hAnsi="Times New Roman" w:cs="Times New Roman"/>
          <w:b/>
          <w:sz w:val="28"/>
          <w:szCs w:val="28"/>
          <w:lang w:val="en-US" w:eastAsia="ru-RU"/>
        </w:rPr>
        <w:t>Likhovid</w:t>
      </w:r>
    </w:p>
    <w:p w14:paraId="43902BE4" w14:textId="77777777" w:rsidR="00565E86" w:rsidRPr="008D09AE" w:rsidRDefault="00565E86" w:rsidP="00565E86">
      <w:pPr>
        <w:spacing w:after="0" w:line="360" w:lineRule="auto"/>
        <w:contextualSpacing/>
        <w:jc w:val="center"/>
        <w:rPr>
          <w:rFonts w:ascii="Times New Roman" w:eastAsia="Times New Roman" w:hAnsi="Times New Roman" w:cs="Times New Roman"/>
          <w:b/>
          <w:sz w:val="28"/>
          <w:szCs w:val="28"/>
          <w:lang w:val="en-US" w:eastAsia="ru-RU"/>
        </w:rPr>
      </w:pPr>
      <w:r w:rsidRPr="008D09AE">
        <w:rPr>
          <w:rFonts w:ascii="Times New Roman" w:eastAsia="Times New Roman" w:hAnsi="Times New Roman" w:cs="Times New Roman"/>
          <w:b/>
          <w:sz w:val="28"/>
          <w:szCs w:val="28"/>
          <w:lang w:val="en-US" w:eastAsia="ru-RU"/>
        </w:rPr>
        <w:t>ON THE DIFFICULTIES OF LITERARY TRANSLATION: ON THE VERGE BETWEEN CREATIVE RETHINKING AND TRANSLATION ERRORS</w:t>
      </w:r>
      <w:bookmarkEnd w:id="8"/>
    </w:p>
    <w:p w14:paraId="0CF0A638" w14:textId="77777777" w:rsidR="00565E86" w:rsidRPr="001A5634" w:rsidRDefault="00565E86" w:rsidP="00565E86">
      <w:pPr>
        <w:spacing w:after="0" w:line="360" w:lineRule="auto"/>
        <w:ind w:firstLine="709"/>
        <w:contextualSpacing/>
        <w:jc w:val="both"/>
        <w:rPr>
          <w:rFonts w:ascii="Times New Roman" w:eastAsia="Times New Roman" w:hAnsi="Times New Roman" w:cs="Times New Roman"/>
          <w:sz w:val="28"/>
          <w:szCs w:val="28"/>
          <w:lang w:val="en-US" w:eastAsia="ru-RU"/>
        </w:rPr>
      </w:pPr>
      <w:r w:rsidRPr="001A5634">
        <w:rPr>
          <w:rFonts w:ascii="Times New Roman" w:eastAsia="Times New Roman" w:hAnsi="Times New Roman" w:cs="Times New Roman"/>
          <w:sz w:val="28"/>
          <w:szCs w:val="28"/>
          <w:lang w:val="en-US" w:eastAsia="ru-RU"/>
        </w:rPr>
        <w:t xml:space="preserve">This article is devoted to the study of the difficulties that arise in the process of literary translation. In translation science, there is a widespread approach in which the translator of a work of art is perceived as its (co)author. Giving him such a role cannot but raise the question of the relationship between the author and the text, and </w:t>
      </w:r>
      <w:r w:rsidRPr="001A5634">
        <w:rPr>
          <w:rFonts w:ascii="Times New Roman" w:eastAsia="Times New Roman" w:hAnsi="Times New Roman" w:cs="Times New Roman"/>
          <w:sz w:val="28"/>
          <w:szCs w:val="28"/>
          <w:lang w:val="en-US" w:eastAsia="ru-RU"/>
        </w:rPr>
        <w:lastRenderedPageBreak/>
        <w:t>to what extent a literary work is a product of exclusively individual cognitive activity. Based on the ideas of Michel Foucault, this work considers the author (and the translator as the author) as, to a certain extent, the product of the discourse in which he creates the work. In this case, discourse is understood as a set of cultural, political, religious, behavioural and other codes that exist in society at the time of writing the work. Taking into account the socio-cultural aspect of the author's function, the present study asks to what extent the difference between the discourses of the author and the translator-co-author affects the text of the translation. Cases when the translator is unable to decode the codes of the sending culture lead to translation errors, which entail a distortion of the meaning of the original, illogical causal relationships of the narrative and misinformation of the reader regarding the pragmatic intentions of the author and characters.</w:t>
      </w:r>
    </w:p>
    <w:p w14:paraId="07256466" w14:textId="77777777" w:rsidR="00565E86" w:rsidRPr="001A5634" w:rsidRDefault="00565E86" w:rsidP="00565E86">
      <w:pPr>
        <w:spacing w:after="0" w:line="360" w:lineRule="auto"/>
        <w:ind w:firstLine="709"/>
        <w:contextualSpacing/>
        <w:jc w:val="both"/>
        <w:rPr>
          <w:rFonts w:ascii="Times New Roman" w:eastAsia="Times New Roman" w:hAnsi="Times New Roman" w:cs="Times New Roman"/>
          <w:sz w:val="28"/>
          <w:szCs w:val="28"/>
          <w:lang w:val="en-US" w:eastAsia="ru-RU"/>
        </w:rPr>
      </w:pPr>
      <w:r w:rsidRPr="001A5634">
        <w:rPr>
          <w:rFonts w:ascii="Times New Roman" w:eastAsia="Times New Roman" w:hAnsi="Times New Roman" w:cs="Times New Roman"/>
          <w:sz w:val="28"/>
          <w:szCs w:val="28"/>
          <w:lang w:val="en-US" w:eastAsia="ru-RU"/>
        </w:rPr>
        <w:t>The material of this study was the text of the novel by Elizabeth Gaskell "North and South" and two of its Russian translations. Several contexts were selected for analysis, which are difficult to translate into Russian due to the presence of extralinguistic factors in them: codes of culture, religious movements, behavioural norms, class relations. In the course of the study, a comparative analysis of the selected elements was carried out with a comprehensive study of the literary, historical and linguistic context. This allowed the authors of the article to trace the causes of translation errors, to establish the relationship between intra- and extra-linguistic factors in their commission, and in some cases to offer their own version of the translation. The conclusion of this study was the acceptance of the ambiguity of the phenomenon of translation error in the context of literary translation due to the difference in cultures between the sender of the original and the recipient of the translation. The difficulty of distinguishing between cases when an unreliable transfer of the meaning of the original can be regarded as a translation error, and when it can be considered as a creative rethinking in order to make the text as clear as possible to the reader is emphasized.</w:t>
      </w:r>
    </w:p>
    <w:p w14:paraId="3709C5B7" w14:textId="764CFA14" w:rsidR="0049736F" w:rsidRDefault="00565E86" w:rsidP="00565E86">
      <w:pPr>
        <w:spacing w:after="0" w:line="360" w:lineRule="auto"/>
        <w:ind w:firstLine="709"/>
        <w:contextualSpacing/>
        <w:jc w:val="both"/>
        <w:rPr>
          <w:rFonts w:ascii="Times New Roman" w:eastAsia="Times New Roman" w:hAnsi="Times New Roman" w:cs="Times New Roman"/>
          <w:sz w:val="28"/>
          <w:szCs w:val="28"/>
          <w:lang w:val="en-US" w:eastAsia="ru-RU"/>
        </w:rPr>
      </w:pPr>
      <w:r w:rsidRPr="008D09AE">
        <w:rPr>
          <w:rFonts w:ascii="Times New Roman" w:eastAsia="Times New Roman" w:hAnsi="Times New Roman" w:cs="Times New Roman"/>
          <w:b/>
          <w:sz w:val="28"/>
          <w:szCs w:val="28"/>
          <w:lang w:val="en-US" w:eastAsia="ru-RU"/>
        </w:rPr>
        <w:t>Key</w:t>
      </w:r>
      <w:r w:rsidRPr="008D09AE">
        <w:rPr>
          <w:rFonts w:ascii="Times New Roman" w:eastAsia="Times New Roman" w:hAnsi="Times New Roman" w:cs="Times New Roman"/>
          <w:b/>
          <w:sz w:val="28"/>
          <w:szCs w:val="28"/>
          <w:lang w:val="en-GB" w:eastAsia="ru-RU"/>
        </w:rPr>
        <w:t xml:space="preserve"> </w:t>
      </w:r>
      <w:r w:rsidRPr="008D09AE">
        <w:rPr>
          <w:rFonts w:ascii="Times New Roman" w:eastAsia="Times New Roman" w:hAnsi="Times New Roman" w:cs="Times New Roman"/>
          <w:b/>
          <w:sz w:val="28"/>
          <w:szCs w:val="28"/>
          <w:lang w:val="en-US" w:eastAsia="ru-RU"/>
        </w:rPr>
        <w:t>words</w:t>
      </w:r>
      <w:r w:rsidRPr="008D09AE">
        <w:rPr>
          <w:rFonts w:ascii="Times New Roman" w:eastAsia="Times New Roman" w:hAnsi="Times New Roman" w:cs="Times New Roman"/>
          <w:b/>
          <w:sz w:val="28"/>
          <w:szCs w:val="28"/>
          <w:lang w:val="en-GB" w:eastAsia="ru-RU"/>
        </w:rPr>
        <w:t>:</w:t>
      </w:r>
      <w:r w:rsidRPr="008D09AE">
        <w:rPr>
          <w:rFonts w:ascii="Times New Roman" w:eastAsia="Times New Roman" w:hAnsi="Times New Roman" w:cs="Times New Roman"/>
          <w:i/>
          <w:iCs/>
          <w:sz w:val="28"/>
          <w:szCs w:val="28"/>
          <w:lang w:val="en-GB" w:eastAsia="ru-RU"/>
        </w:rPr>
        <w:t xml:space="preserve"> </w:t>
      </w:r>
      <w:r w:rsidRPr="001A5634">
        <w:rPr>
          <w:rFonts w:ascii="Times New Roman" w:eastAsia="Times New Roman" w:hAnsi="Times New Roman" w:cs="Times New Roman"/>
          <w:sz w:val="28"/>
          <w:szCs w:val="28"/>
          <w:lang w:val="en-US" w:eastAsia="ru-RU"/>
        </w:rPr>
        <w:t>literary translation, author, translation error, social and cultural connotation, discourse.</w:t>
      </w:r>
    </w:p>
    <w:p w14:paraId="4DE9C7A8" w14:textId="77777777" w:rsidR="001D5DFB" w:rsidRPr="00CF4E0A" w:rsidRDefault="001D5DFB" w:rsidP="001D5DFB">
      <w:pPr>
        <w:spacing w:after="0" w:line="360" w:lineRule="auto"/>
        <w:rPr>
          <w:rFonts w:ascii="Times New Roman" w:eastAsia="Calibri" w:hAnsi="Times New Roman" w:cs="Times New Roman"/>
          <w:b/>
          <w:bCs/>
          <w:sz w:val="28"/>
          <w:szCs w:val="28"/>
          <w:lang w:eastAsia="ru-RU"/>
        </w:rPr>
      </w:pPr>
      <w:r w:rsidRPr="00CF4E0A">
        <w:rPr>
          <w:rFonts w:ascii="Times New Roman" w:eastAsia="Calibri" w:hAnsi="Times New Roman" w:cs="Times New Roman"/>
          <w:b/>
          <w:bCs/>
          <w:sz w:val="28"/>
          <w:szCs w:val="28"/>
          <w:lang w:eastAsia="ru-RU"/>
        </w:rPr>
        <w:lastRenderedPageBreak/>
        <w:t>УДК 81`42</w:t>
      </w:r>
    </w:p>
    <w:p w14:paraId="1C9D5120" w14:textId="77777777" w:rsidR="001D5DFB" w:rsidRPr="00092EC3" w:rsidRDefault="001D5DFB" w:rsidP="001D5DFB">
      <w:pPr>
        <w:spacing w:after="0" w:line="360" w:lineRule="auto"/>
        <w:ind w:firstLine="709"/>
        <w:contextualSpacing/>
        <w:jc w:val="right"/>
        <w:rPr>
          <w:rFonts w:ascii="Times New Roman" w:eastAsia="Calibri" w:hAnsi="Times New Roman" w:cs="Times New Roman"/>
          <w:b/>
          <w:bCs/>
          <w:sz w:val="28"/>
          <w:szCs w:val="28"/>
        </w:rPr>
      </w:pPr>
      <w:r w:rsidRPr="00092EC3">
        <w:rPr>
          <w:rFonts w:ascii="Times New Roman" w:eastAsia="Calibri" w:hAnsi="Times New Roman" w:cs="Times New Roman"/>
          <w:b/>
          <w:bCs/>
          <w:sz w:val="28"/>
          <w:szCs w:val="28"/>
        </w:rPr>
        <w:t>http://doi.org/</w:t>
      </w:r>
      <w:r w:rsidRPr="006D18D9">
        <w:rPr>
          <w:rFonts w:ascii="Times New Roman" w:eastAsia="Calibri" w:hAnsi="Times New Roman" w:cs="Times New Roman"/>
          <w:b/>
          <w:bCs/>
          <w:sz w:val="28"/>
          <w:szCs w:val="28"/>
        </w:rPr>
        <w:t>10.37493/2409-1030.2022.4.19</w:t>
      </w:r>
    </w:p>
    <w:p w14:paraId="5A3DEAFA" w14:textId="77777777" w:rsidR="001D5DFB" w:rsidRPr="00CF4E0A" w:rsidRDefault="001D5DFB" w:rsidP="001D5DFB">
      <w:pPr>
        <w:spacing w:after="0" w:line="360" w:lineRule="auto"/>
        <w:jc w:val="right"/>
        <w:rPr>
          <w:rFonts w:ascii="Times New Roman" w:eastAsia="Calibri" w:hAnsi="Times New Roman" w:cs="Times New Roman"/>
          <w:b/>
          <w:bCs/>
          <w:kern w:val="2"/>
          <w:sz w:val="28"/>
          <w:szCs w:val="28"/>
          <w:lang w:eastAsia="ru-RU"/>
        </w:rPr>
      </w:pPr>
      <w:r w:rsidRPr="00CF4E0A">
        <w:rPr>
          <w:rFonts w:ascii="Times New Roman" w:eastAsia="Calibri" w:hAnsi="Times New Roman" w:cs="Times New Roman"/>
          <w:b/>
          <w:bCs/>
          <w:kern w:val="2"/>
          <w:sz w:val="28"/>
          <w:szCs w:val="28"/>
          <w:lang w:eastAsia="ru-RU"/>
        </w:rPr>
        <w:t xml:space="preserve">А.И. Милостивая </w:t>
      </w:r>
    </w:p>
    <w:p w14:paraId="146C550F" w14:textId="77777777" w:rsidR="001D5DFB" w:rsidRPr="00CF4E0A" w:rsidRDefault="001D5DFB" w:rsidP="001D5DFB">
      <w:pPr>
        <w:spacing w:after="0" w:line="360" w:lineRule="auto"/>
        <w:jc w:val="center"/>
        <w:rPr>
          <w:rFonts w:ascii="Times New Roman" w:eastAsia="Calibri" w:hAnsi="Times New Roman" w:cs="Times New Roman"/>
          <w:b/>
          <w:bCs/>
          <w:kern w:val="2"/>
          <w:sz w:val="28"/>
          <w:szCs w:val="28"/>
          <w:lang w:eastAsia="ru-RU"/>
        </w:rPr>
      </w:pPr>
      <w:r w:rsidRPr="00CF4E0A">
        <w:rPr>
          <w:rFonts w:ascii="Times New Roman" w:eastAsia="Calibri" w:hAnsi="Times New Roman" w:cs="Times New Roman"/>
          <w:b/>
          <w:bCs/>
          <w:kern w:val="2"/>
          <w:sz w:val="28"/>
          <w:szCs w:val="28"/>
          <w:lang w:eastAsia="ru-RU"/>
        </w:rPr>
        <w:t>ОСОБЕННОСТИ ИЗОБРАЖЕНИЯ НАРРАТИВА «</w:t>
      </w:r>
      <w:r w:rsidRPr="00CF4E0A">
        <w:rPr>
          <w:rFonts w:ascii="Times New Roman" w:eastAsia="Calibri" w:hAnsi="Times New Roman" w:cs="Times New Roman"/>
          <w:b/>
          <w:sz w:val="28"/>
          <w:szCs w:val="28"/>
          <w:lang w:eastAsia="ru-RU"/>
        </w:rPr>
        <w:t>COVID-19</w:t>
      </w:r>
      <w:r w:rsidRPr="00CF4E0A">
        <w:rPr>
          <w:rFonts w:ascii="Times New Roman" w:eastAsia="Calibri" w:hAnsi="Times New Roman" w:cs="Times New Roman"/>
          <w:b/>
          <w:bCs/>
          <w:kern w:val="2"/>
          <w:sz w:val="28"/>
          <w:szCs w:val="28"/>
          <w:lang w:eastAsia="ru-RU"/>
        </w:rPr>
        <w:t>» В НЕМЕЦКОЙ КАЧЕСТВЕННОЙ И МАССОВОЙ ПРЕССЕ</w:t>
      </w:r>
      <w:r>
        <w:rPr>
          <w:rStyle w:val="a5"/>
          <w:rFonts w:ascii="Times New Roman" w:eastAsia="Calibri" w:hAnsi="Times New Roman" w:cs="Times New Roman"/>
          <w:b/>
          <w:bCs/>
          <w:kern w:val="2"/>
          <w:sz w:val="28"/>
          <w:szCs w:val="28"/>
          <w:lang w:eastAsia="ru-RU"/>
        </w:rPr>
        <w:footnoteReference w:id="9"/>
      </w:r>
    </w:p>
    <w:p w14:paraId="1B07EAEE" w14:textId="77777777" w:rsidR="001D5DFB" w:rsidRPr="00CF4E0A" w:rsidRDefault="001D5DFB" w:rsidP="001D5DFB">
      <w:pPr>
        <w:spacing w:after="0" w:line="360" w:lineRule="auto"/>
        <w:ind w:firstLine="709"/>
        <w:jc w:val="both"/>
        <w:rPr>
          <w:rFonts w:ascii="Times New Roman" w:eastAsia="Calibri" w:hAnsi="Times New Roman" w:cs="Times New Roman"/>
          <w:sz w:val="28"/>
          <w:szCs w:val="28"/>
          <w:highlight w:val="yellow"/>
          <w:lang w:eastAsia="ru-RU"/>
        </w:rPr>
      </w:pPr>
      <w:r w:rsidRPr="00CF4E0A">
        <w:rPr>
          <w:rFonts w:ascii="Times New Roman" w:eastAsia="Calibri" w:hAnsi="Times New Roman" w:cs="Times New Roman"/>
          <w:sz w:val="28"/>
          <w:szCs w:val="28"/>
          <w:lang w:eastAsia="ru-RU"/>
        </w:rPr>
        <w:t xml:space="preserve">Статья посвящена анализу стратегий формирования общественного мнения, манифестирующихся на языковом уровне массмедийной коммуникации, в нарративе о COVID-19 из немецкой качественной и массовой прессы. Актуальность исследования обусловлена социальной релевантностью нарративного анализа персуазивного воздействия средств массовой информации в период пандемии COVID-19, в ходе которого сквозь призму взаимосвязи с коронавирусной инфекцией в качественной и массовой прессе на передний план выдвигаются социально-политические и экономические проблемы того или иного государства. При этом особый исследовательский интерес автора статьи фокусируется на интерпретации фреймовых моделей аутентичных денотативных ситуаций в сопоставлении с их трактовками в качественных и массовых немецких газетах, что предоставило возможность охарактеризовать аксиологическое отношения субъектов нарративного повествования в СМИ к когнитивно-дискурсивным событиям в геополитическом пространстве не только Германии и Европейского союза, но и глобального мира в целом. Научная новизна статьи обусловлена тем, что в ней впервые производится характеристика персуазивного воздействия языковых стратегий формирования общественного мнения в ходе повествования коронавирусной пандемии в немецкой качественной и массовой прессе в сопоставительном плане. В основу данной статьи положена гипотеза о корреляции между селекцией фактуальной информации и ее аксиологической интерпретацией субъектом коммуникативного действия в журналистском газетном нарративе о COVID-19, которая имеет место как в </w:t>
      </w:r>
      <w:r w:rsidRPr="00CF4E0A">
        <w:rPr>
          <w:rFonts w:ascii="Times New Roman" w:eastAsia="Calibri" w:hAnsi="Times New Roman" w:cs="Times New Roman"/>
          <w:sz w:val="28"/>
          <w:szCs w:val="28"/>
          <w:lang w:eastAsia="ru-RU"/>
        </w:rPr>
        <w:lastRenderedPageBreak/>
        <w:t xml:space="preserve">качественной, так и в массовой прессе. Поэтому при изучении стратегий формирования общественного мнения в нарративе пандемии релевантен анализ языковых и логико-семантических способов презентации денотативного новостного контента. Основным методом исследования эмпирического материала в данной статье является фреймовый анализ взаимоотношений между прототипической описываемой денотативной ситуацией и ее текстовым представлением в нарративе из качественной и массовой прессы, что также свидетельствует о научной новизне данного исследования. При этом внимание исследователя было сфокусировано на интерпретации асимметрии указанных выше феноменов как аксиологически маркированной константы, симметрии в качестве аксиологически нейтральной трактовки информации и диссимметрии как полумаркированного случая в плане персуазивного воздействия. </w:t>
      </w:r>
    </w:p>
    <w:p w14:paraId="19CC7512" w14:textId="77777777" w:rsidR="001D5DFB" w:rsidRDefault="001D5DFB" w:rsidP="001D5DFB">
      <w:pPr>
        <w:spacing w:after="0" w:line="360" w:lineRule="auto"/>
        <w:ind w:firstLine="709"/>
        <w:jc w:val="both"/>
        <w:rPr>
          <w:rFonts w:ascii="Times New Roman" w:eastAsia="Calibri" w:hAnsi="Times New Roman" w:cs="Times New Roman"/>
          <w:sz w:val="28"/>
          <w:szCs w:val="28"/>
          <w:lang w:eastAsia="ru-RU"/>
        </w:rPr>
      </w:pPr>
      <w:r w:rsidRPr="00CF4E0A">
        <w:rPr>
          <w:rFonts w:ascii="Times New Roman" w:eastAsia="Calibri" w:hAnsi="Times New Roman" w:cs="Times New Roman"/>
          <w:b/>
          <w:sz w:val="28"/>
          <w:szCs w:val="28"/>
          <w:lang w:eastAsia="ru-RU"/>
        </w:rPr>
        <w:t>Ключевые слова</w:t>
      </w:r>
      <w:r w:rsidRPr="00CF4E0A">
        <w:rPr>
          <w:rFonts w:ascii="Times New Roman" w:eastAsia="Calibri" w:hAnsi="Times New Roman" w:cs="Times New Roman"/>
          <w:sz w:val="28"/>
          <w:szCs w:val="28"/>
          <w:lang w:eastAsia="ru-RU"/>
        </w:rPr>
        <w:t>: газетный нарратив,</w:t>
      </w:r>
      <w:r w:rsidRPr="00CF4E0A">
        <w:rPr>
          <w:rFonts w:ascii="Times New Roman" w:eastAsia="Calibri" w:hAnsi="Times New Roman" w:cs="Times New Roman"/>
          <w:b/>
          <w:sz w:val="28"/>
          <w:szCs w:val="28"/>
          <w:lang w:eastAsia="ru-RU"/>
        </w:rPr>
        <w:t xml:space="preserve"> </w:t>
      </w:r>
      <w:r w:rsidRPr="00CF4E0A">
        <w:rPr>
          <w:rFonts w:ascii="Times New Roman" w:eastAsia="Calibri" w:hAnsi="Times New Roman" w:cs="Times New Roman"/>
          <w:sz w:val="28"/>
          <w:szCs w:val="28"/>
          <w:lang w:eastAsia="ru-RU"/>
        </w:rPr>
        <w:t>немецкая пресса, качественные и массовые газеты, стратегии формирования общественного мнения, персуазивное воздействие СМИ</w:t>
      </w:r>
      <w:r>
        <w:rPr>
          <w:rFonts w:ascii="Times New Roman" w:eastAsia="Calibri" w:hAnsi="Times New Roman" w:cs="Times New Roman"/>
          <w:sz w:val="28"/>
          <w:szCs w:val="28"/>
          <w:lang w:eastAsia="ru-RU"/>
        </w:rPr>
        <w:t>.</w:t>
      </w:r>
    </w:p>
    <w:p w14:paraId="76FEF477" w14:textId="77777777" w:rsidR="001D5DFB" w:rsidRPr="00B163B3" w:rsidRDefault="001D5DFB" w:rsidP="001D5DFB">
      <w:pPr>
        <w:spacing w:after="0" w:line="360" w:lineRule="auto"/>
        <w:jc w:val="right"/>
        <w:rPr>
          <w:rFonts w:ascii="Times New Roman" w:eastAsia="Calibri" w:hAnsi="Times New Roman" w:cs="Times New Roman"/>
          <w:b/>
          <w:sz w:val="28"/>
          <w:szCs w:val="28"/>
          <w:lang w:val="en-US" w:eastAsia="ru-RU"/>
        </w:rPr>
      </w:pPr>
      <w:bookmarkStart w:id="9" w:name="_Hlk121868197"/>
      <w:r w:rsidRPr="00CF4E0A">
        <w:rPr>
          <w:rFonts w:ascii="Times New Roman" w:eastAsia="Calibri" w:hAnsi="Times New Roman" w:cs="Times New Roman"/>
          <w:b/>
          <w:sz w:val="28"/>
          <w:szCs w:val="28"/>
          <w:lang w:val="en-US" w:eastAsia="ru-RU"/>
        </w:rPr>
        <w:t>Alexandra</w:t>
      </w:r>
      <w:r w:rsidRPr="00B163B3">
        <w:rPr>
          <w:rFonts w:ascii="Times New Roman" w:eastAsia="Calibri" w:hAnsi="Times New Roman" w:cs="Times New Roman"/>
          <w:b/>
          <w:sz w:val="28"/>
          <w:szCs w:val="28"/>
          <w:lang w:val="en-US" w:eastAsia="ru-RU"/>
        </w:rPr>
        <w:t xml:space="preserve"> </w:t>
      </w:r>
      <w:r w:rsidRPr="00CF4E0A">
        <w:rPr>
          <w:rFonts w:ascii="Times New Roman" w:eastAsia="Calibri" w:hAnsi="Times New Roman" w:cs="Times New Roman"/>
          <w:b/>
          <w:sz w:val="28"/>
          <w:szCs w:val="28"/>
          <w:lang w:val="en-US" w:eastAsia="ru-RU"/>
        </w:rPr>
        <w:t>I</w:t>
      </w:r>
      <w:r w:rsidRPr="00B163B3">
        <w:rPr>
          <w:rFonts w:ascii="Times New Roman" w:eastAsia="Calibri" w:hAnsi="Times New Roman" w:cs="Times New Roman"/>
          <w:b/>
          <w:sz w:val="28"/>
          <w:szCs w:val="28"/>
          <w:lang w:val="en-US" w:eastAsia="ru-RU"/>
        </w:rPr>
        <w:t xml:space="preserve">. </w:t>
      </w:r>
      <w:r w:rsidRPr="00CF4E0A">
        <w:rPr>
          <w:rFonts w:ascii="Times New Roman" w:eastAsia="Calibri" w:hAnsi="Times New Roman" w:cs="Times New Roman"/>
          <w:b/>
          <w:sz w:val="28"/>
          <w:szCs w:val="28"/>
          <w:lang w:val="en-US" w:eastAsia="ru-RU"/>
        </w:rPr>
        <w:t>Milostivaya</w:t>
      </w:r>
      <w:r w:rsidRPr="00B163B3">
        <w:rPr>
          <w:rFonts w:ascii="Times New Roman" w:eastAsia="Calibri" w:hAnsi="Times New Roman" w:cs="Times New Roman"/>
          <w:b/>
          <w:sz w:val="28"/>
          <w:szCs w:val="28"/>
          <w:lang w:val="en-US" w:eastAsia="ru-RU"/>
        </w:rPr>
        <w:t xml:space="preserve"> </w:t>
      </w:r>
    </w:p>
    <w:p w14:paraId="2DF56FB2" w14:textId="77777777" w:rsidR="001D5DFB" w:rsidRPr="00CF4E0A" w:rsidRDefault="001D5DFB" w:rsidP="001D5DFB">
      <w:pPr>
        <w:spacing w:after="0" w:line="360" w:lineRule="auto"/>
        <w:jc w:val="center"/>
        <w:rPr>
          <w:rFonts w:ascii="Times New Roman" w:eastAsia="Calibri" w:hAnsi="Times New Roman" w:cs="Times New Roman"/>
          <w:b/>
          <w:bCs/>
          <w:kern w:val="2"/>
          <w:sz w:val="28"/>
          <w:szCs w:val="28"/>
          <w:lang w:val="en-US" w:eastAsia="ru-RU"/>
        </w:rPr>
      </w:pPr>
      <w:r w:rsidRPr="00CF4E0A">
        <w:rPr>
          <w:rFonts w:ascii="Times New Roman" w:eastAsia="Calibri" w:hAnsi="Times New Roman" w:cs="Times New Roman"/>
          <w:b/>
          <w:bCs/>
          <w:kern w:val="2"/>
          <w:sz w:val="28"/>
          <w:szCs w:val="28"/>
          <w:lang w:val="en-US" w:eastAsia="ru-RU"/>
        </w:rPr>
        <w:t>FEATURES OF THE NARRATIVE "COVID-19" IN THE GERMAN QUALITY AND MASS PRESS</w:t>
      </w:r>
    </w:p>
    <w:bookmarkEnd w:id="9"/>
    <w:p w14:paraId="3BCAB9E2" w14:textId="77777777" w:rsidR="001D5DFB" w:rsidRDefault="001D5DFB" w:rsidP="001D5DFB">
      <w:pPr>
        <w:spacing w:after="0" w:line="360" w:lineRule="auto"/>
        <w:ind w:firstLine="709"/>
        <w:jc w:val="both"/>
        <w:rPr>
          <w:rFonts w:ascii="Times New Roman" w:eastAsia="Calibri" w:hAnsi="Times New Roman" w:cs="Times New Roman"/>
          <w:sz w:val="28"/>
          <w:szCs w:val="28"/>
          <w:lang w:val="en-US" w:eastAsia="ru-RU"/>
        </w:rPr>
      </w:pPr>
      <w:r w:rsidRPr="00CF4E0A">
        <w:rPr>
          <w:rFonts w:ascii="Times New Roman" w:eastAsia="Calibri" w:hAnsi="Times New Roman" w:cs="Times New Roman"/>
          <w:sz w:val="28"/>
          <w:szCs w:val="28"/>
          <w:lang w:val="en-US" w:eastAsia="ru-RU"/>
        </w:rPr>
        <w:t>The article is devoted to the analysis of strategies for shaping public opinion, manifested at the linguistic level of mass media communication, in the narrative about COVID-19 from the German high-quality and mass press. The relevance of the study is due to the social relevance of a narrative analysis of the persuasive impact of the media during the COVID-19 pandemic, during which, through the prism of the relationship with coronavirus infection, the socio-political and economic problems of a state are brought to the fore in the high-quality and mass press.</w:t>
      </w:r>
      <w:r w:rsidRPr="00CF4E0A">
        <w:rPr>
          <w:rFonts w:ascii="Times New Roman" w:eastAsia="Calibri" w:hAnsi="Times New Roman" w:cs="Times New Roman"/>
          <w:sz w:val="24"/>
          <w:szCs w:val="24"/>
          <w:lang w:val="en-US" w:eastAsia="ru-RU"/>
        </w:rPr>
        <w:t xml:space="preserve"> </w:t>
      </w:r>
      <w:r w:rsidRPr="00CF4E0A">
        <w:rPr>
          <w:rFonts w:ascii="Times New Roman" w:eastAsia="Calibri" w:hAnsi="Times New Roman" w:cs="Times New Roman"/>
          <w:sz w:val="28"/>
          <w:szCs w:val="28"/>
          <w:lang w:val="en-US" w:eastAsia="ru-RU"/>
        </w:rPr>
        <w:t xml:space="preserve">At the same time, the author's special research interest is focused on the interpretation of frame models of authentic denotative situations in comparison with their interpretations in high-quality and mass German newspapers, which made it possible to characterize the axiological attitude of the subjects of narrative in the </w:t>
      </w:r>
      <w:r w:rsidRPr="00CF4E0A">
        <w:rPr>
          <w:rFonts w:ascii="Times New Roman" w:eastAsia="Calibri" w:hAnsi="Times New Roman" w:cs="Times New Roman"/>
          <w:sz w:val="28"/>
          <w:szCs w:val="28"/>
          <w:lang w:val="en-US" w:eastAsia="ru-RU"/>
        </w:rPr>
        <w:lastRenderedPageBreak/>
        <w:t>media to cognitive-discursive events in the geopolitical space not only in Germany and The European Union, but also the global world as a whole.</w:t>
      </w:r>
      <w:r w:rsidRPr="00CF4E0A">
        <w:rPr>
          <w:rFonts w:ascii="Times New Roman" w:eastAsia="Calibri" w:hAnsi="Times New Roman" w:cs="Times New Roman"/>
          <w:sz w:val="24"/>
          <w:szCs w:val="24"/>
          <w:lang w:val="en-US" w:eastAsia="ru-RU"/>
        </w:rPr>
        <w:t xml:space="preserve"> </w:t>
      </w:r>
      <w:r w:rsidRPr="00CF4E0A">
        <w:rPr>
          <w:rFonts w:ascii="Times New Roman" w:eastAsia="Calibri" w:hAnsi="Times New Roman" w:cs="Times New Roman"/>
          <w:sz w:val="28"/>
          <w:szCs w:val="28"/>
          <w:lang w:val="en-US" w:eastAsia="ru-RU"/>
        </w:rPr>
        <w:t>The scientific novelty of the article is due to the fact that it is the first to characterize the persuasive impact of language strategies for shaping public opinion during the narrative of the coronavirus pandemic in the German high-quality and mass press in a comparative way. This article is based on the hypothesis of the correlation between factual information selection and its axiological interpretation by the subject of a communicative action in the journalistic newspaper narrative on the COVID-19, which takes place in both high-quality and mass press.</w:t>
      </w:r>
      <w:r w:rsidRPr="00CF4E0A">
        <w:rPr>
          <w:rFonts w:ascii="Times New Roman" w:eastAsia="Calibri" w:hAnsi="Times New Roman" w:cs="Times New Roman"/>
          <w:sz w:val="24"/>
          <w:szCs w:val="24"/>
          <w:lang w:val="en-US" w:eastAsia="ru-RU"/>
        </w:rPr>
        <w:t xml:space="preserve"> </w:t>
      </w:r>
      <w:r w:rsidRPr="00CF4E0A">
        <w:rPr>
          <w:rFonts w:ascii="Times New Roman" w:eastAsia="Calibri" w:hAnsi="Times New Roman" w:cs="Times New Roman"/>
          <w:sz w:val="28"/>
          <w:szCs w:val="28"/>
          <w:lang w:val="en-US" w:eastAsia="ru-RU"/>
        </w:rPr>
        <w:t>Therefore, when studying strategies for shaping public opinion in the narrative on the pandemic, it is relevant to analyze the linguistic and logical-semantic ways of denotative news content presenting.</w:t>
      </w:r>
      <w:r w:rsidRPr="00CF4E0A">
        <w:rPr>
          <w:rFonts w:ascii="Times New Roman" w:eastAsia="Calibri" w:hAnsi="Times New Roman" w:cs="Times New Roman"/>
          <w:sz w:val="24"/>
          <w:szCs w:val="24"/>
          <w:lang w:val="en-US" w:eastAsia="ru-RU"/>
        </w:rPr>
        <w:t xml:space="preserve"> </w:t>
      </w:r>
      <w:r w:rsidRPr="00CF4E0A">
        <w:rPr>
          <w:rFonts w:ascii="Times New Roman" w:eastAsia="Calibri" w:hAnsi="Times New Roman" w:cs="Times New Roman"/>
          <w:sz w:val="28"/>
          <w:szCs w:val="28"/>
          <w:lang w:val="en-US" w:eastAsia="ru-RU"/>
        </w:rPr>
        <w:t>The main method for studying empirical material in this article is a frame analysis of the relationship between the prototypical described denotative situation and its textual representation in the narrative from the high-quality and mass press, which also indicates the scientific novelty of this study. At the same time, the attention of the researcher was focused on the interpretation of the asymmetry of the above phenomena as an axiologically marked constant, symmetry as an axiologically neutral interpretation of information and dissymmetry as a semi-marked case in terms of persuasive influence.</w:t>
      </w:r>
    </w:p>
    <w:p w14:paraId="6B49F21C" w14:textId="77777777" w:rsidR="001D5DFB" w:rsidRPr="00CF4E0A" w:rsidRDefault="001D5DFB" w:rsidP="001D5DFB">
      <w:pPr>
        <w:spacing w:after="0" w:line="360" w:lineRule="auto"/>
        <w:ind w:firstLine="709"/>
        <w:jc w:val="both"/>
        <w:rPr>
          <w:rFonts w:ascii="Times New Roman" w:eastAsia="Calibri" w:hAnsi="Times New Roman" w:cs="Times New Roman"/>
          <w:sz w:val="28"/>
          <w:szCs w:val="28"/>
          <w:highlight w:val="yellow"/>
          <w:lang w:val="en-US" w:eastAsia="ru-RU"/>
        </w:rPr>
      </w:pPr>
      <w:r w:rsidRPr="00CF4E0A">
        <w:rPr>
          <w:rFonts w:ascii="Times New Roman" w:eastAsia="Calibri" w:hAnsi="Times New Roman" w:cs="Times New Roman"/>
          <w:b/>
          <w:sz w:val="28"/>
          <w:szCs w:val="28"/>
          <w:lang w:val="en-US" w:eastAsia="ru-RU"/>
        </w:rPr>
        <w:t>Key words:</w:t>
      </w:r>
      <w:r w:rsidRPr="00CF4E0A">
        <w:rPr>
          <w:rFonts w:ascii="Times New Roman" w:eastAsia="Calibri" w:hAnsi="Times New Roman" w:cs="Times New Roman"/>
          <w:sz w:val="28"/>
          <w:szCs w:val="28"/>
          <w:lang w:val="en-US" w:eastAsia="ru-RU"/>
        </w:rPr>
        <w:t xml:space="preserve"> newspaper narrative, German press, quality and mass newspapers, strategies for shaping public opinion, persuasive influence of the media</w:t>
      </w:r>
      <w:r w:rsidRPr="00A92C27">
        <w:rPr>
          <w:rFonts w:ascii="Times New Roman" w:eastAsia="Calibri" w:hAnsi="Times New Roman" w:cs="Times New Roman"/>
          <w:sz w:val="28"/>
          <w:szCs w:val="28"/>
          <w:lang w:val="en-US" w:eastAsia="ru-RU"/>
        </w:rPr>
        <w:t>.</w:t>
      </w:r>
    </w:p>
    <w:p w14:paraId="0222CD5A" w14:textId="77777777" w:rsidR="00565E86" w:rsidRPr="00E12757" w:rsidRDefault="00565E86" w:rsidP="00565E86">
      <w:pPr>
        <w:spacing w:after="0" w:line="360" w:lineRule="auto"/>
        <w:ind w:firstLine="709"/>
        <w:contextualSpacing/>
        <w:jc w:val="both"/>
        <w:rPr>
          <w:lang w:val="en-US"/>
        </w:rPr>
      </w:pPr>
    </w:p>
    <w:sectPr w:rsidR="00565E86" w:rsidRPr="00E127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0D0B" w14:textId="77777777" w:rsidR="005B774D" w:rsidRDefault="005B774D" w:rsidP="005E07C2">
      <w:pPr>
        <w:spacing w:after="0" w:line="240" w:lineRule="auto"/>
      </w:pPr>
      <w:r>
        <w:separator/>
      </w:r>
    </w:p>
  </w:endnote>
  <w:endnote w:type="continuationSeparator" w:id="0">
    <w:p w14:paraId="39F77452" w14:textId="77777777" w:rsidR="005B774D" w:rsidRDefault="005B774D" w:rsidP="005E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1FE8" w14:textId="77777777" w:rsidR="005B774D" w:rsidRDefault="005B774D" w:rsidP="005E07C2">
      <w:pPr>
        <w:spacing w:after="0" w:line="240" w:lineRule="auto"/>
      </w:pPr>
      <w:r>
        <w:separator/>
      </w:r>
    </w:p>
  </w:footnote>
  <w:footnote w:type="continuationSeparator" w:id="0">
    <w:p w14:paraId="181ABBB2" w14:textId="77777777" w:rsidR="005B774D" w:rsidRDefault="005B774D" w:rsidP="005E07C2">
      <w:pPr>
        <w:spacing w:after="0" w:line="240" w:lineRule="auto"/>
      </w:pPr>
      <w:r>
        <w:continuationSeparator/>
      </w:r>
    </w:p>
  </w:footnote>
  <w:footnote w:id="1">
    <w:p w14:paraId="170A86C4" w14:textId="77777777" w:rsidR="005E07C2" w:rsidRPr="00DB262C" w:rsidRDefault="005E07C2" w:rsidP="005E07C2">
      <w:pPr>
        <w:pStyle w:val="a3"/>
        <w:jc w:val="both"/>
        <w:rPr>
          <w:rFonts w:ascii="Times New Roman" w:hAnsi="Times New Roman" w:cs="Times New Roman"/>
        </w:rPr>
      </w:pPr>
      <w:r w:rsidRPr="00DB262C">
        <w:rPr>
          <w:rStyle w:val="a5"/>
          <w:rFonts w:ascii="Times New Roman" w:hAnsi="Times New Roman" w:cs="Times New Roman"/>
        </w:rPr>
        <w:footnoteRef/>
      </w:r>
      <w:r w:rsidRPr="00DB262C">
        <w:rPr>
          <w:rFonts w:ascii="Times New Roman" w:hAnsi="Times New Roman" w:cs="Times New Roman"/>
        </w:rPr>
        <w:t xml:space="preserve"> Исследование выполнено при финансовой поддержке РФФИ в рамках научного проекта № 21-09-43048 «От “нового человека” до “советского народа”: идеология, опыт, проблемы советского проекта (1917 – 1985 годы)»</w:t>
      </w:r>
    </w:p>
  </w:footnote>
  <w:footnote w:id="2">
    <w:p w14:paraId="09E0CE05" w14:textId="77777777" w:rsidR="005E07C2" w:rsidRPr="00DB262C" w:rsidRDefault="005E07C2" w:rsidP="005E07C2">
      <w:pPr>
        <w:pStyle w:val="a3"/>
        <w:jc w:val="both"/>
        <w:rPr>
          <w:rFonts w:ascii="Times New Roman" w:hAnsi="Times New Roman" w:cs="Times New Roman"/>
          <w:lang w:val="en-US"/>
        </w:rPr>
      </w:pPr>
      <w:r w:rsidRPr="00DB262C">
        <w:rPr>
          <w:rStyle w:val="a5"/>
          <w:rFonts w:ascii="Times New Roman" w:hAnsi="Times New Roman" w:cs="Times New Roman"/>
        </w:rPr>
        <w:footnoteRef/>
      </w:r>
      <w:r w:rsidRPr="00DB262C">
        <w:rPr>
          <w:rFonts w:ascii="Times New Roman" w:hAnsi="Times New Roman" w:cs="Times New Roman"/>
          <w:lang w:val="en-US"/>
        </w:rPr>
        <w:t xml:space="preserve"> The research was funded by RFBR according to the project № 21-09-43048 “From “new man” to “Soviet people”: ideology, experience, problems of the Soviet project</w:t>
      </w:r>
    </w:p>
  </w:footnote>
  <w:footnote w:id="3">
    <w:p w14:paraId="2073533E" w14:textId="77777777" w:rsidR="00340F61" w:rsidRPr="00873745" w:rsidRDefault="00340F61" w:rsidP="00340F61">
      <w:pPr>
        <w:pStyle w:val="a3"/>
        <w:jc w:val="both"/>
        <w:rPr>
          <w:rFonts w:ascii="Times New Roman" w:hAnsi="Times New Roman" w:cs="Times New Roman"/>
          <w:lang w:val="en-US"/>
        </w:rPr>
      </w:pPr>
      <w:r w:rsidRPr="00DB262C">
        <w:rPr>
          <w:rStyle w:val="a5"/>
          <w:rFonts w:ascii="Times New Roman" w:hAnsi="Times New Roman" w:cs="Times New Roman"/>
        </w:rPr>
        <w:footnoteRef/>
      </w:r>
      <w:r w:rsidRPr="00DB262C">
        <w:rPr>
          <w:rFonts w:ascii="Times New Roman" w:hAnsi="Times New Roman" w:cs="Times New Roman"/>
        </w:rPr>
        <w:t xml:space="preserve"> Исследование выполнено при финансовой поддержке РФФИ в рамках научного проекта № 20-59-56010 от 3.03. </w:t>
      </w:r>
      <w:r w:rsidRPr="00873745">
        <w:rPr>
          <w:rFonts w:ascii="Times New Roman" w:hAnsi="Times New Roman" w:cs="Times New Roman"/>
          <w:lang w:val="en-US"/>
        </w:rPr>
        <w:t xml:space="preserve">2021 </w:t>
      </w:r>
      <w:r w:rsidRPr="00DB262C">
        <w:rPr>
          <w:rFonts w:ascii="Times New Roman" w:hAnsi="Times New Roman" w:cs="Times New Roman"/>
        </w:rPr>
        <w:t>г</w:t>
      </w:r>
      <w:r w:rsidRPr="00873745">
        <w:rPr>
          <w:rFonts w:ascii="Times New Roman" w:hAnsi="Times New Roman" w:cs="Times New Roman"/>
          <w:lang w:val="en-US"/>
        </w:rPr>
        <w:t>.</w:t>
      </w:r>
    </w:p>
    <w:p w14:paraId="034D3770" w14:textId="77777777" w:rsidR="00340F61" w:rsidRPr="00873745" w:rsidRDefault="00340F61" w:rsidP="00340F61">
      <w:pPr>
        <w:pStyle w:val="a3"/>
        <w:jc w:val="both"/>
        <w:rPr>
          <w:rFonts w:ascii="Times New Roman" w:hAnsi="Times New Roman" w:cs="Times New Roman"/>
          <w:lang w:val="en-US"/>
        </w:rPr>
      </w:pPr>
    </w:p>
  </w:footnote>
  <w:footnote w:id="4">
    <w:p w14:paraId="445462DC" w14:textId="77777777" w:rsidR="00340F61" w:rsidRPr="00DB262C" w:rsidRDefault="00340F61" w:rsidP="00340F61">
      <w:pPr>
        <w:pStyle w:val="a3"/>
        <w:jc w:val="both"/>
        <w:rPr>
          <w:rFonts w:ascii="Times New Roman" w:hAnsi="Times New Roman" w:cs="Times New Roman"/>
          <w:lang w:val="en-US"/>
        </w:rPr>
      </w:pPr>
      <w:r w:rsidRPr="00DB262C">
        <w:rPr>
          <w:rStyle w:val="a5"/>
          <w:rFonts w:ascii="Times New Roman" w:hAnsi="Times New Roman" w:cs="Times New Roman"/>
        </w:rPr>
        <w:footnoteRef/>
      </w:r>
      <w:r w:rsidRPr="00DB262C">
        <w:rPr>
          <w:rFonts w:ascii="Times New Roman" w:hAnsi="Times New Roman" w:cs="Times New Roman"/>
          <w:lang w:val="en-US"/>
        </w:rPr>
        <w:t xml:space="preserve"> The study was carried out with the financial support of the Russian Foundation for Basic Research within the framework of the scientific project No. 20-59-56010 dated 03.03.2021</w:t>
      </w:r>
    </w:p>
  </w:footnote>
  <w:footnote w:id="5">
    <w:p w14:paraId="34CFECBA" w14:textId="77777777" w:rsidR="00A01FB6" w:rsidRPr="00DB262C" w:rsidRDefault="00A01FB6" w:rsidP="00A01FB6">
      <w:pPr>
        <w:pStyle w:val="a8"/>
        <w:jc w:val="both"/>
        <w:rPr>
          <w:rFonts w:ascii="Times New Roman" w:hAnsi="Times New Roman" w:cs="Times New Roman"/>
        </w:rPr>
      </w:pPr>
      <w:r w:rsidRPr="00DB262C">
        <w:rPr>
          <w:rStyle w:val="a5"/>
          <w:rFonts w:ascii="Times New Roman" w:hAnsi="Times New Roman" w:cs="Times New Roman"/>
        </w:rPr>
        <w:footnoteRef/>
      </w:r>
      <w:r w:rsidRPr="00DB262C">
        <w:rPr>
          <w:rFonts w:ascii="Times New Roman" w:hAnsi="Times New Roman" w:cs="Times New Roman"/>
        </w:rPr>
        <w:t xml:space="preserve"> Статья подготовлена при финансовой поддержке РФФИ в рамках научного проекта № 20-09-00239 А «</w:t>
      </w:r>
      <w:r w:rsidRPr="00DB262C">
        <w:rPr>
          <w:rFonts w:ascii="Times New Roman" w:hAnsi="Times New Roman" w:cs="Times New Roman"/>
          <w:bCs/>
        </w:rPr>
        <w:t>Государственный язык как инструмент социокультурных трансформаций на Северном Кавказе (вторая половина XIX – начало XX в.)»</w:t>
      </w:r>
    </w:p>
  </w:footnote>
  <w:footnote w:id="6">
    <w:p w14:paraId="27B96454" w14:textId="77777777" w:rsidR="00A01FB6" w:rsidRPr="00DB262C" w:rsidRDefault="00A01FB6" w:rsidP="00A01FB6">
      <w:pPr>
        <w:pStyle w:val="a3"/>
        <w:jc w:val="both"/>
        <w:rPr>
          <w:rFonts w:ascii="Times New Roman" w:hAnsi="Times New Roman" w:cs="Times New Roman"/>
          <w:lang w:val="en-US"/>
        </w:rPr>
      </w:pPr>
      <w:r w:rsidRPr="00DB262C">
        <w:rPr>
          <w:rStyle w:val="a5"/>
          <w:rFonts w:ascii="Times New Roman" w:hAnsi="Times New Roman" w:cs="Times New Roman"/>
        </w:rPr>
        <w:footnoteRef/>
      </w:r>
      <w:r w:rsidRPr="00DB262C">
        <w:rPr>
          <w:rFonts w:ascii="Times New Roman" w:hAnsi="Times New Roman" w:cs="Times New Roman"/>
          <w:lang w:val="en-US"/>
        </w:rPr>
        <w:t xml:space="preserve"> The article was written with the financial support of the RFBR within the scientific project No. 20-09-00239 A "The state language as an instrument of socio-cultural transformations in the North Caucasus (the second half of the 19th - early 20th century)".</w:t>
      </w:r>
    </w:p>
  </w:footnote>
  <w:footnote w:id="7">
    <w:p w14:paraId="750841C8" w14:textId="77777777" w:rsidR="006F187B" w:rsidRPr="00DB262C" w:rsidRDefault="006F187B" w:rsidP="006F187B">
      <w:pPr>
        <w:pStyle w:val="a3"/>
        <w:jc w:val="both"/>
        <w:rPr>
          <w:rFonts w:ascii="Times New Roman" w:hAnsi="Times New Roman" w:cs="Times New Roman"/>
        </w:rPr>
      </w:pPr>
      <w:r w:rsidRPr="00DB262C">
        <w:rPr>
          <w:rStyle w:val="a5"/>
          <w:rFonts w:ascii="Times New Roman" w:hAnsi="Times New Roman" w:cs="Times New Roman"/>
        </w:rPr>
        <w:footnoteRef/>
      </w:r>
      <w:r w:rsidRPr="00DB262C">
        <w:rPr>
          <w:rFonts w:ascii="Times New Roman" w:hAnsi="Times New Roman" w:cs="Times New Roman"/>
        </w:rPr>
        <w:t xml:space="preserve"> Исследование выполнено за счет гранта Российского научного фонда № 21-78-00015, https://rscf.ru/project/21-78-00015/</w:t>
      </w:r>
    </w:p>
  </w:footnote>
  <w:footnote w:id="8">
    <w:p w14:paraId="58D0982E" w14:textId="77777777" w:rsidR="006F187B" w:rsidRPr="00DB262C" w:rsidRDefault="006F187B" w:rsidP="006F187B">
      <w:pPr>
        <w:pStyle w:val="a3"/>
        <w:rPr>
          <w:rFonts w:ascii="Times New Roman" w:hAnsi="Times New Roman" w:cs="Times New Roman"/>
          <w:lang w:val="en-US"/>
        </w:rPr>
      </w:pPr>
      <w:r w:rsidRPr="00DB262C">
        <w:rPr>
          <w:rStyle w:val="a5"/>
          <w:rFonts w:ascii="Times New Roman" w:hAnsi="Times New Roman" w:cs="Times New Roman"/>
        </w:rPr>
        <w:footnoteRef/>
      </w:r>
      <w:r w:rsidRPr="00DB262C">
        <w:rPr>
          <w:rFonts w:ascii="Times New Roman" w:hAnsi="Times New Roman" w:cs="Times New Roman"/>
          <w:lang w:val="en-US"/>
        </w:rPr>
        <w:t xml:space="preserve"> The study was funded by the Russian Science Foundation, project № 21-78-00015, https://rscf.ru/en/project/21-78-00015/.</w:t>
      </w:r>
    </w:p>
  </w:footnote>
  <w:footnote w:id="9">
    <w:p w14:paraId="0EDA024D" w14:textId="77777777" w:rsidR="001D5DFB" w:rsidRPr="00DB262C" w:rsidRDefault="001D5DFB" w:rsidP="001D5DFB">
      <w:pPr>
        <w:pStyle w:val="a3"/>
        <w:jc w:val="both"/>
        <w:rPr>
          <w:rFonts w:ascii="Times New Roman" w:hAnsi="Times New Roman" w:cs="Times New Roman"/>
        </w:rPr>
      </w:pPr>
      <w:r w:rsidRPr="00DB262C">
        <w:rPr>
          <w:rStyle w:val="a5"/>
          <w:rFonts w:ascii="Times New Roman" w:hAnsi="Times New Roman" w:cs="Times New Roman"/>
        </w:rPr>
        <w:footnoteRef/>
      </w:r>
      <w:r w:rsidRPr="00DB262C">
        <w:rPr>
          <w:rFonts w:ascii="Times New Roman" w:hAnsi="Times New Roman" w:cs="Times New Roman"/>
        </w:rPr>
        <w:t xml:space="preserve"> Исследование выполнено при финансовой поддержке </w:t>
      </w:r>
      <w:r w:rsidRPr="00DB262C">
        <w:rPr>
          <w:rFonts w:ascii="Times New Roman" w:hAnsi="Times New Roman" w:cs="Times New Roman"/>
          <w:lang w:val="en-US"/>
        </w:rPr>
        <w:t>DAAD</w:t>
      </w:r>
      <w:r w:rsidRPr="00DB262C">
        <w:rPr>
          <w:rFonts w:ascii="Times New Roman" w:hAnsi="Times New Roman" w:cs="Times New Roman"/>
        </w:rPr>
        <w:t xml:space="preserve"> в рамках программы «Научные стажировки для ученых и преподавателей вузов»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08"/>
    <w:rsid w:val="00067B3A"/>
    <w:rsid w:val="00091EA9"/>
    <w:rsid w:val="001056D7"/>
    <w:rsid w:val="00172CA7"/>
    <w:rsid w:val="001D5DFB"/>
    <w:rsid w:val="00262127"/>
    <w:rsid w:val="00340F61"/>
    <w:rsid w:val="00366FBA"/>
    <w:rsid w:val="0049736F"/>
    <w:rsid w:val="004E05A4"/>
    <w:rsid w:val="004F6FFA"/>
    <w:rsid w:val="0052008D"/>
    <w:rsid w:val="00527998"/>
    <w:rsid w:val="00565E86"/>
    <w:rsid w:val="005B774D"/>
    <w:rsid w:val="005E07C2"/>
    <w:rsid w:val="006F187B"/>
    <w:rsid w:val="00967C97"/>
    <w:rsid w:val="00A01FB6"/>
    <w:rsid w:val="00A32D23"/>
    <w:rsid w:val="00A914FD"/>
    <w:rsid w:val="00B0353A"/>
    <w:rsid w:val="00C3529F"/>
    <w:rsid w:val="00C719B9"/>
    <w:rsid w:val="00D23D2F"/>
    <w:rsid w:val="00D517FB"/>
    <w:rsid w:val="00DA0708"/>
    <w:rsid w:val="00DE7391"/>
    <w:rsid w:val="00E05DA3"/>
    <w:rsid w:val="00E12757"/>
    <w:rsid w:val="00EA079D"/>
    <w:rsid w:val="00EC118E"/>
    <w:rsid w:val="00EC5F72"/>
    <w:rsid w:val="00F2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8759"/>
  <w15:chartTrackingRefBased/>
  <w15:docId w15:val="{DECD3BB7-EB12-4CFA-AEF9-65D7D532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C2"/>
  </w:style>
  <w:style w:type="paragraph" w:styleId="2">
    <w:name w:val="heading 2"/>
    <w:basedOn w:val="a"/>
    <w:next w:val="a"/>
    <w:link w:val="20"/>
    <w:uiPriority w:val="9"/>
    <w:unhideWhenUsed/>
    <w:qFormat/>
    <w:rsid w:val="00340F6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E07C2"/>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rsid w:val="005E07C2"/>
    <w:rPr>
      <w:rFonts w:eastAsiaTheme="minorEastAsia"/>
      <w:sz w:val="20"/>
      <w:szCs w:val="20"/>
      <w:lang w:eastAsia="ru-RU"/>
    </w:rPr>
  </w:style>
  <w:style w:type="character" w:styleId="a5">
    <w:name w:val="footnote reference"/>
    <w:basedOn w:val="a0"/>
    <w:uiPriority w:val="99"/>
    <w:unhideWhenUsed/>
    <w:rsid w:val="005E07C2"/>
    <w:rPr>
      <w:vertAlign w:val="superscript"/>
    </w:rPr>
  </w:style>
  <w:style w:type="character" w:customStyle="1" w:styleId="markedcontent">
    <w:name w:val="markedcontent"/>
    <w:basedOn w:val="a0"/>
    <w:rsid w:val="005E07C2"/>
  </w:style>
  <w:style w:type="paragraph" w:styleId="HTML">
    <w:name w:val="HTML Preformatted"/>
    <w:basedOn w:val="a"/>
    <w:link w:val="HTML0"/>
    <w:uiPriority w:val="99"/>
    <w:unhideWhenUsed/>
    <w:rsid w:val="00E12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12757"/>
    <w:rPr>
      <w:rFonts w:ascii="Courier New" w:eastAsia="Times New Roman" w:hAnsi="Courier New" w:cs="Courier New"/>
      <w:sz w:val="20"/>
      <w:szCs w:val="20"/>
      <w:lang w:eastAsia="ru-RU"/>
    </w:rPr>
  </w:style>
  <w:style w:type="character" w:customStyle="1" w:styleId="y2iqfc">
    <w:name w:val="y2iqfc"/>
    <w:basedOn w:val="a0"/>
    <w:rsid w:val="00E12757"/>
  </w:style>
  <w:style w:type="character" w:customStyle="1" w:styleId="20">
    <w:name w:val="Заголовок 2 Знак"/>
    <w:basedOn w:val="a0"/>
    <w:link w:val="2"/>
    <w:uiPriority w:val="9"/>
    <w:rsid w:val="00340F61"/>
    <w:rPr>
      <w:rFonts w:asciiTheme="majorHAnsi" w:eastAsiaTheme="majorEastAsia" w:hAnsiTheme="majorHAnsi" w:cstheme="majorBidi"/>
      <w:b/>
      <w:bCs/>
      <w:color w:val="4472C4" w:themeColor="accent1"/>
      <w:sz w:val="26"/>
      <w:szCs w:val="26"/>
    </w:rPr>
  </w:style>
  <w:style w:type="paragraph" w:styleId="a6">
    <w:name w:val="Normal (Web)"/>
    <w:aliases w:val="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rsid w:val="00340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Обычный (Web)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340F61"/>
    <w:rPr>
      <w:rFonts w:ascii="Times New Roman" w:eastAsia="Times New Roman" w:hAnsi="Times New Roman" w:cs="Times New Roman"/>
      <w:sz w:val="24"/>
      <w:szCs w:val="24"/>
      <w:lang w:eastAsia="ru-RU"/>
    </w:rPr>
  </w:style>
  <w:style w:type="paragraph" w:styleId="a8">
    <w:name w:val="endnote text"/>
    <w:basedOn w:val="a"/>
    <w:link w:val="a9"/>
    <w:unhideWhenUsed/>
    <w:rsid w:val="00A01FB6"/>
    <w:pPr>
      <w:spacing w:after="0" w:line="240" w:lineRule="auto"/>
    </w:pPr>
    <w:rPr>
      <w:sz w:val="20"/>
      <w:szCs w:val="20"/>
    </w:rPr>
  </w:style>
  <w:style w:type="character" w:customStyle="1" w:styleId="a9">
    <w:name w:val="Текст концевой сноски Знак"/>
    <w:basedOn w:val="a0"/>
    <w:link w:val="a8"/>
    <w:rsid w:val="00A01FB6"/>
    <w:rPr>
      <w:sz w:val="20"/>
      <w:szCs w:val="20"/>
    </w:rPr>
  </w:style>
  <w:style w:type="paragraph" w:customStyle="1" w:styleId="ConsPlusNormal">
    <w:name w:val="ConsPlusNormal"/>
    <w:rsid w:val="00E05DA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ode.com/online/udc/9/9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48</Pages>
  <Words>13192</Words>
  <Characters>75199</Characters>
  <Application>Microsoft Office Word</Application>
  <DocSecurity>0</DocSecurity>
  <Lines>626</Lines>
  <Paragraphs>176</Paragraphs>
  <ScaleCrop>false</ScaleCrop>
  <Company/>
  <LinksUpToDate>false</LinksUpToDate>
  <CharactersWithSpaces>88215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Каринэ Амбарцумян</dc:creator>
  <cp:keywords/>
  <dc:description/>
  <cp:lastModifiedBy>Каринэ Амбарцумян</cp:lastModifiedBy>
  <cp:revision>32</cp:revision>
  <dcterms:created xsi:type="dcterms:W3CDTF">2022-12-29T21:22:00Z</dcterms:created>
  <dcterms:modified xsi:type="dcterms:W3CDTF">2022-12-29T21:58:00Z</dcterms:modified>
</cp:coreProperties>
</file>